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9414" w14:textId="3947BAEB" w:rsidR="005170C8" w:rsidRDefault="00A7665A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8E50EE1" wp14:editId="5D95DF0B">
            <wp:simplePos x="0" y="0"/>
            <wp:positionH relativeFrom="page">
              <wp:align>right</wp:align>
            </wp:positionH>
            <wp:positionV relativeFrom="page">
              <wp:posOffset>-97971</wp:posOffset>
            </wp:positionV>
            <wp:extent cx="10752178" cy="7658735"/>
            <wp:effectExtent l="0" t="0" r="0" b="0"/>
            <wp:wrapTopAndBottom/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178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0C8"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05A36716" w14:textId="77777777" w:rsidR="007D61E6" w:rsidRDefault="007D61E6" w:rsidP="00533549">
      <w:pPr>
        <w:pStyle w:val="TTULO01"/>
        <w:sectPr w:rsidR="007D61E6" w:rsidSect="00524369">
          <w:headerReference w:type="default" r:id="rId12"/>
          <w:footerReference w:type="default" r:id="rId13"/>
          <w:pgSz w:w="16838" w:h="11906" w:orient="landscape"/>
          <w:pgMar w:top="1701" w:right="1418" w:bottom="1701" w:left="1418" w:header="567" w:footer="680" w:gutter="0"/>
          <w:cols w:space="708"/>
          <w:docGrid w:linePitch="360"/>
        </w:sectPr>
      </w:pPr>
    </w:p>
    <w:p w14:paraId="2CA6F213" w14:textId="1F471954" w:rsidR="00863549" w:rsidRPr="002944A9" w:rsidRDefault="00863549" w:rsidP="00533549">
      <w:pPr>
        <w:pStyle w:val="TTULO01"/>
      </w:pPr>
      <w:r w:rsidRPr="002944A9">
        <w:lastRenderedPageBreak/>
        <w:t>REALIZAÇÃO</w:t>
      </w:r>
    </w:p>
    <w:p w14:paraId="1BA19D45" w14:textId="513A1245" w:rsidR="00863549" w:rsidRPr="009422F0" w:rsidRDefault="002255E8" w:rsidP="00CC0ABB">
      <w:pPr>
        <w:spacing w:after="0" w:line="288" w:lineRule="auto"/>
        <w:rPr>
          <w:rFonts w:ascii="Gotham Narrow Bold" w:hAnsi="Gotham Narrow Bold"/>
        </w:rPr>
      </w:pPr>
      <w:r w:rsidRPr="009422F0">
        <w:rPr>
          <w:rFonts w:ascii="Gotham Narrow Bold" w:hAnsi="Gotham Narrow Bold"/>
        </w:rPr>
        <w:t>Governo do Estado do Paraná</w:t>
      </w:r>
    </w:p>
    <w:p w14:paraId="3B00EB76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61292427" w14:textId="4D4A6B3D" w:rsidR="009422F0" w:rsidRPr="009422F0" w:rsidRDefault="009422F0" w:rsidP="00CC0ABB">
      <w:pPr>
        <w:spacing w:after="0" w:line="288" w:lineRule="auto"/>
        <w:rPr>
          <w:rFonts w:ascii="Gotham Light" w:hAnsi="Gotham Light"/>
          <w:i/>
          <w:iCs/>
        </w:rPr>
      </w:pPr>
      <w:r w:rsidRPr="009422F0">
        <w:rPr>
          <w:rFonts w:ascii="Gotham Light" w:hAnsi="Gotham Light"/>
          <w:i/>
          <w:iCs/>
        </w:rPr>
        <w:t>Governador</w:t>
      </w:r>
    </w:p>
    <w:p w14:paraId="221B15CB" w14:textId="77777777" w:rsidR="00863549" w:rsidRPr="002255E8" w:rsidRDefault="00863549" w:rsidP="00CC0ABB">
      <w:pPr>
        <w:spacing w:after="0" w:line="288" w:lineRule="auto"/>
        <w:rPr>
          <w:rFonts w:ascii="Gotham Light" w:hAnsi="Gotham Light"/>
        </w:rPr>
      </w:pPr>
      <w:r w:rsidRPr="002255E8">
        <w:rPr>
          <w:rFonts w:ascii="Gotham Light" w:hAnsi="Gotham Light"/>
        </w:rPr>
        <w:t>Carlos Roberto Massa Júnior</w:t>
      </w:r>
    </w:p>
    <w:p w14:paraId="5279ECBB" w14:textId="77777777" w:rsidR="00863549" w:rsidRDefault="00863549" w:rsidP="00CC0ABB">
      <w:pPr>
        <w:spacing w:after="0" w:line="288" w:lineRule="auto"/>
        <w:rPr>
          <w:rFonts w:ascii="Garamond" w:hAnsi="Garamond"/>
          <w:i/>
          <w:iCs/>
        </w:rPr>
      </w:pPr>
    </w:p>
    <w:p w14:paraId="2A7B9B66" w14:textId="13916E8A" w:rsidR="00863549" w:rsidRPr="00724ABE" w:rsidRDefault="00863549" w:rsidP="00CC0ABB">
      <w:pPr>
        <w:spacing w:after="0" w:line="288" w:lineRule="auto"/>
        <w:rPr>
          <w:rFonts w:ascii="Gotham Narrow Bold" w:hAnsi="Gotham Narrow Bold"/>
        </w:rPr>
      </w:pPr>
      <w:r w:rsidRPr="00724ABE">
        <w:rPr>
          <w:rFonts w:ascii="Gotham Narrow Bold" w:hAnsi="Gotham Narrow Bold"/>
        </w:rPr>
        <w:t xml:space="preserve">Superintendência de Ciência, Tecnologia e Ensino Superior </w:t>
      </w:r>
      <w:r w:rsidR="0081649A">
        <w:rPr>
          <w:rFonts w:ascii="Gotham Narrow Bold" w:hAnsi="Gotham Narrow Bold"/>
        </w:rPr>
        <w:br/>
      </w:r>
      <w:r w:rsidR="00A02A9F">
        <w:rPr>
          <w:rFonts w:ascii="Gotham Narrow Bold" w:hAnsi="Gotham Narrow Bold"/>
        </w:rPr>
        <w:t>(</w:t>
      </w:r>
      <w:r w:rsidRPr="00724ABE">
        <w:rPr>
          <w:rFonts w:ascii="Gotham Narrow Bold" w:hAnsi="Gotham Narrow Bold"/>
        </w:rPr>
        <w:t>Seti</w:t>
      </w:r>
      <w:r w:rsidR="00D163B0">
        <w:rPr>
          <w:rFonts w:ascii="Gotham Narrow Bold" w:hAnsi="Gotham Narrow Bold"/>
        </w:rPr>
        <w:t>-</w:t>
      </w:r>
      <w:r w:rsidRPr="00724ABE">
        <w:rPr>
          <w:rFonts w:ascii="Gotham Narrow Bold" w:hAnsi="Gotham Narrow Bold"/>
        </w:rPr>
        <w:t>PR</w:t>
      </w:r>
      <w:r w:rsidR="00A02A9F">
        <w:rPr>
          <w:rFonts w:ascii="Gotham Narrow Bold" w:hAnsi="Gotham Narrow Bold"/>
        </w:rPr>
        <w:t>)</w:t>
      </w:r>
    </w:p>
    <w:p w14:paraId="52C0E6C5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0A0A9358" w14:textId="2D55E1B7" w:rsidR="00724ABE" w:rsidRPr="00724ABE" w:rsidRDefault="00724ABE" w:rsidP="00CC0ABB">
      <w:pPr>
        <w:spacing w:after="0" w:line="288" w:lineRule="auto"/>
        <w:rPr>
          <w:rFonts w:ascii="Gotham Light" w:hAnsi="Gotham Light"/>
          <w:i/>
          <w:iCs/>
        </w:rPr>
      </w:pPr>
      <w:r w:rsidRPr="00724ABE">
        <w:rPr>
          <w:rFonts w:ascii="Gotham Light" w:hAnsi="Gotham Light"/>
          <w:i/>
          <w:iCs/>
        </w:rPr>
        <w:t>Superintendente</w:t>
      </w:r>
    </w:p>
    <w:p w14:paraId="63056D3F" w14:textId="77777777" w:rsidR="00863549" w:rsidRPr="00724ABE" w:rsidRDefault="00863549" w:rsidP="00CC0ABB">
      <w:pPr>
        <w:spacing w:after="0" w:line="288" w:lineRule="auto"/>
        <w:rPr>
          <w:rFonts w:ascii="Gotham Light" w:hAnsi="Gotham Light"/>
        </w:rPr>
      </w:pPr>
      <w:r w:rsidRPr="00724ABE">
        <w:rPr>
          <w:rFonts w:ascii="Gotham Light" w:hAnsi="Gotham Light"/>
        </w:rPr>
        <w:t>Aldo Nelson Bona</w:t>
      </w:r>
    </w:p>
    <w:p w14:paraId="57FE6574" w14:textId="77777777" w:rsidR="00863549" w:rsidRPr="002944A9" w:rsidRDefault="00863549" w:rsidP="00CC0ABB">
      <w:pPr>
        <w:spacing w:after="0" w:line="288" w:lineRule="auto"/>
        <w:rPr>
          <w:rFonts w:ascii="Garamond" w:hAnsi="Garamond"/>
          <w:i/>
          <w:iCs/>
        </w:rPr>
      </w:pPr>
    </w:p>
    <w:p w14:paraId="5586F080" w14:textId="77777777" w:rsidR="00863549" w:rsidRPr="00D163B0" w:rsidRDefault="00863549" w:rsidP="00CC0ABB">
      <w:pPr>
        <w:spacing w:after="0" w:line="288" w:lineRule="auto"/>
        <w:rPr>
          <w:rFonts w:ascii="Gotham Narrow Bold" w:hAnsi="Gotham Narrow Bold"/>
        </w:rPr>
      </w:pPr>
      <w:r w:rsidRPr="00D163B0">
        <w:rPr>
          <w:rFonts w:ascii="Gotham Narrow Bold" w:hAnsi="Gotham Narrow Bold"/>
        </w:rPr>
        <w:t>Fundação Araucária</w:t>
      </w:r>
    </w:p>
    <w:p w14:paraId="443619EA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339C9DB6" w14:textId="4D6203BC" w:rsidR="00D163B0" w:rsidRPr="00D163B0" w:rsidRDefault="00D163B0" w:rsidP="00CC0ABB">
      <w:pPr>
        <w:spacing w:after="0" w:line="288" w:lineRule="auto"/>
        <w:rPr>
          <w:rFonts w:ascii="Gotham Light" w:hAnsi="Gotham Light"/>
          <w:i/>
          <w:iCs/>
        </w:rPr>
      </w:pPr>
      <w:r w:rsidRPr="00D163B0">
        <w:rPr>
          <w:rFonts w:ascii="Gotham Light" w:hAnsi="Gotham Light"/>
          <w:i/>
          <w:iCs/>
        </w:rPr>
        <w:t>Presidente</w:t>
      </w:r>
    </w:p>
    <w:p w14:paraId="34C544C7" w14:textId="77777777" w:rsidR="00863549" w:rsidRPr="00D163B0" w:rsidRDefault="00863549" w:rsidP="00CC0ABB">
      <w:pPr>
        <w:spacing w:after="0" w:line="288" w:lineRule="auto"/>
        <w:rPr>
          <w:rFonts w:ascii="Gotham Light" w:hAnsi="Gotham Light"/>
        </w:rPr>
      </w:pPr>
      <w:r w:rsidRPr="00D163B0">
        <w:rPr>
          <w:rFonts w:ascii="Gotham Light" w:hAnsi="Gotham Light"/>
        </w:rPr>
        <w:t xml:space="preserve">Ramiro </w:t>
      </w:r>
      <w:proofErr w:type="spellStart"/>
      <w:r w:rsidRPr="00D163B0">
        <w:rPr>
          <w:rFonts w:ascii="Gotham Light" w:hAnsi="Gotham Light"/>
        </w:rPr>
        <w:t>Wahrhaftig</w:t>
      </w:r>
      <w:proofErr w:type="spellEnd"/>
    </w:p>
    <w:p w14:paraId="1CD7AE09" w14:textId="77777777" w:rsidR="00863549" w:rsidRPr="00C87E69" w:rsidRDefault="00863549" w:rsidP="00CC0ABB">
      <w:pPr>
        <w:spacing w:after="0" w:line="288" w:lineRule="auto"/>
        <w:rPr>
          <w:rFonts w:ascii="Garamond" w:hAnsi="Garamond"/>
          <w:i/>
          <w:iCs/>
        </w:rPr>
      </w:pPr>
    </w:p>
    <w:p w14:paraId="70E2ECBF" w14:textId="77777777" w:rsidR="00D163B0" w:rsidRPr="00D163B0" w:rsidRDefault="00D163B0" w:rsidP="00CC0ABB">
      <w:pPr>
        <w:spacing w:after="0" w:line="288" w:lineRule="auto"/>
        <w:rPr>
          <w:rFonts w:ascii="Gotham Light" w:hAnsi="Gotham Light"/>
          <w:i/>
          <w:iCs/>
        </w:rPr>
      </w:pPr>
      <w:r w:rsidRPr="00D163B0">
        <w:rPr>
          <w:rFonts w:ascii="Gotham Light" w:hAnsi="Gotham Light"/>
          <w:i/>
          <w:iCs/>
        </w:rPr>
        <w:t>Diretor de Ciência, Tecnologia e Inovação</w:t>
      </w:r>
    </w:p>
    <w:p w14:paraId="193C4EF6" w14:textId="77777777" w:rsidR="00863549" w:rsidRPr="00D163B0" w:rsidRDefault="00863549" w:rsidP="00CC0ABB">
      <w:pPr>
        <w:spacing w:after="0" w:line="288" w:lineRule="auto"/>
        <w:rPr>
          <w:rFonts w:ascii="Gotham Light" w:hAnsi="Gotham Light"/>
        </w:rPr>
      </w:pPr>
      <w:r w:rsidRPr="00D163B0">
        <w:rPr>
          <w:rFonts w:ascii="Gotham Light" w:hAnsi="Gotham Light"/>
        </w:rPr>
        <w:t xml:space="preserve">Luiz Márcio </w:t>
      </w:r>
      <w:proofErr w:type="spellStart"/>
      <w:r w:rsidRPr="00D163B0">
        <w:rPr>
          <w:rFonts w:ascii="Gotham Light" w:hAnsi="Gotham Light"/>
        </w:rPr>
        <w:t>Spinosa</w:t>
      </w:r>
      <w:proofErr w:type="spellEnd"/>
    </w:p>
    <w:p w14:paraId="61C26404" w14:textId="77777777" w:rsidR="00863549" w:rsidRPr="00C87E69" w:rsidRDefault="00863549" w:rsidP="00CC0ABB">
      <w:pPr>
        <w:spacing w:after="0" w:line="288" w:lineRule="auto"/>
        <w:rPr>
          <w:rFonts w:ascii="Garamond" w:hAnsi="Garamond"/>
        </w:rPr>
      </w:pPr>
    </w:p>
    <w:p w14:paraId="0DAF1C50" w14:textId="77777777" w:rsidR="00D163B0" w:rsidRPr="00FC2CB9" w:rsidRDefault="00D163B0" w:rsidP="00CC0ABB">
      <w:pPr>
        <w:spacing w:after="0" w:line="288" w:lineRule="auto"/>
        <w:rPr>
          <w:rFonts w:ascii="Gotham Light" w:hAnsi="Gotham Light"/>
          <w:i/>
          <w:iCs/>
        </w:rPr>
      </w:pPr>
      <w:r w:rsidRPr="00FC2CB9">
        <w:rPr>
          <w:rFonts w:ascii="Gotham Light" w:hAnsi="Gotham Light"/>
          <w:i/>
          <w:iCs/>
        </w:rPr>
        <w:t>Diretor de Administração e Finanças</w:t>
      </w:r>
    </w:p>
    <w:p w14:paraId="7983D261" w14:textId="602C43E8" w:rsidR="00863549" w:rsidRDefault="00863549" w:rsidP="00CC0ABB">
      <w:pPr>
        <w:spacing w:after="0" w:line="288" w:lineRule="auto"/>
        <w:rPr>
          <w:rFonts w:ascii="Gotham Light" w:hAnsi="Gotham Light"/>
        </w:rPr>
      </w:pPr>
      <w:r w:rsidRPr="00FC2CB9">
        <w:rPr>
          <w:rFonts w:ascii="Gotham Light" w:hAnsi="Gotham Light"/>
        </w:rPr>
        <w:t>Gerson Koch</w:t>
      </w:r>
    </w:p>
    <w:p w14:paraId="4CA53BB6" w14:textId="77777777" w:rsidR="001326B2" w:rsidRPr="00BE5F23" w:rsidRDefault="001326B2" w:rsidP="00FB1D33">
      <w:pPr>
        <w:pStyle w:val="TTULO01"/>
      </w:pPr>
      <w:r w:rsidRPr="00BE5F23">
        <w:t>COOPERAÇÃO TÉCNICA</w:t>
      </w:r>
    </w:p>
    <w:p w14:paraId="79F09519" w14:textId="6A8CFEF2" w:rsidR="001326B2" w:rsidRPr="00FB1D33" w:rsidRDefault="00C63EDD" w:rsidP="00CC0ABB">
      <w:pPr>
        <w:spacing w:after="0" w:line="288" w:lineRule="auto"/>
        <w:rPr>
          <w:rFonts w:ascii="Gotham Narrow Bold" w:hAnsi="Gotham Narrow Bold"/>
        </w:rPr>
      </w:pPr>
      <w:r w:rsidRPr="00FB1D33">
        <w:rPr>
          <w:rFonts w:ascii="Gotham Narrow Bold" w:hAnsi="Gotham Narrow Bold"/>
        </w:rPr>
        <w:t xml:space="preserve">Sistema Federação </w:t>
      </w:r>
      <w:r>
        <w:rPr>
          <w:rFonts w:ascii="Gotham Narrow Bold" w:hAnsi="Gotham Narrow Bold"/>
        </w:rPr>
        <w:t>d</w:t>
      </w:r>
      <w:r w:rsidRPr="00FB1D33">
        <w:rPr>
          <w:rFonts w:ascii="Gotham Narrow Bold" w:hAnsi="Gotham Narrow Bold"/>
        </w:rPr>
        <w:t xml:space="preserve">as Indústrias </w:t>
      </w:r>
      <w:r>
        <w:rPr>
          <w:rFonts w:ascii="Gotham Narrow Bold" w:hAnsi="Gotham Narrow Bold"/>
        </w:rPr>
        <w:t>d</w:t>
      </w:r>
      <w:r w:rsidRPr="00FB1D33">
        <w:rPr>
          <w:rFonts w:ascii="Gotham Narrow Bold" w:hAnsi="Gotham Narrow Bold"/>
        </w:rPr>
        <w:t xml:space="preserve">o Estado </w:t>
      </w:r>
      <w:r>
        <w:rPr>
          <w:rFonts w:ascii="Gotham Narrow Bold" w:hAnsi="Gotham Narrow Bold"/>
        </w:rPr>
        <w:t>d</w:t>
      </w:r>
      <w:r w:rsidRPr="00FB1D33">
        <w:rPr>
          <w:rFonts w:ascii="Gotham Narrow Bold" w:hAnsi="Gotham Narrow Bold"/>
        </w:rPr>
        <w:t xml:space="preserve">o Paraná </w:t>
      </w:r>
      <w:r w:rsidR="0081649A">
        <w:rPr>
          <w:rFonts w:ascii="Gotham Narrow Bold" w:hAnsi="Gotham Narrow Bold"/>
        </w:rPr>
        <w:br/>
      </w:r>
      <w:r>
        <w:rPr>
          <w:rFonts w:ascii="Gotham Narrow Bold" w:hAnsi="Gotham Narrow Bold"/>
        </w:rPr>
        <w:t>(</w:t>
      </w:r>
      <w:r w:rsidR="001326B2" w:rsidRPr="00FB1D33">
        <w:rPr>
          <w:rFonts w:ascii="Gotham Narrow Bold" w:hAnsi="Gotham Narrow Bold"/>
        </w:rPr>
        <w:t>S</w:t>
      </w:r>
      <w:r>
        <w:rPr>
          <w:rFonts w:ascii="Gotham Narrow Bold" w:hAnsi="Gotham Narrow Bold"/>
        </w:rPr>
        <w:t>istema</w:t>
      </w:r>
      <w:r w:rsidR="001326B2" w:rsidRPr="00FB1D33">
        <w:rPr>
          <w:rFonts w:ascii="Gotham Narrow Bold" w:hAnsi="Gotham Narrow Bold"/>
        </w:rPr>
        <w:t xml:space="preserve"> F</w:t>
      </w:r>
      <w:r>
        <w:rPr>
          <w:rFonts w:ascii="Gotham Narrow Bold" w:hAnsi="Gotham Narrow Bold"/>
        </w:rPr>
        <w:t>iep)</w:t>
      </w:r>
    </w:p>
    <w:p w14:paraId="0C06AC91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7E551766" w14:textId="3E1D7B0E" w:rsidR="00FB1D33" w:rsidRPr="00FB1D33" w:rsidRDefault="00FB1D33" w:rsidP="00CC0ABB">
      <w:pPr>
        <w:spacing w:after="0" w:line="288" w:lineRule="auto"/>
        <w:rPr>
          <w:rFonts w:ascii="Gotham Light" w:hAnsi="Gotham Light"/>
          <w:i/>
          <w:iCs/>
        </w:rPr>
      </w:pPr>
      <w:r w:rsidRPr="00FB1D33">
        <w:rPr>
          <w:rFonts w:ascii="Gotham Light" w:hAnsi="Gotham Light"/>
          <w:i/>
          <w:iCs/>
        </w:rPr>
        <w:t xml:space="preserve">Presidente </w:t>
      </w:r>
    </w:p>
    <w:p w14:paraId="1D94D413" w14:textId="77777777" w:rsidR="001326B2" w:rsidRPr="00FB1D33" w:rsidRDefault="001326B2" w:rsidP="00CC0ABB">
      <w:pPr>
        <w:spacing w:after="0" w:line="288" w:lineRule="auto"/>
        <w:rPr>
          <w:rFonts w:ascii="Gotham Light" w:hAnsi="Gotham Light"/>
        </w:rPr>
      </w:pPr>
      <w:r w:rsidRPr="00FB1D33">
        <w:rPr>
          <w:rFonts w:ascii="Gotham Light" w:hAnsi="Gotham Light"/>
        </w:rPr>
        <w:t>Carlos Valter Martins Pedro</w:t>
      </w:r>
    </w:p>
    <w:p w14:paraId="05F01F04" w14:textId="77777777" w:rsidR="001326B2" w:rsidRPr="00BE5F23" w:rsidRDefault="001326B2" w:rsidP="00CC0ABB">
      <w:pPr>
        <w:spacing w:after="0" w:line="288" w:lineRule="auto"/>
        <w:rPr>
          <w:rFonts w:ascii="Garamond" w:hAnsi="Garamond"/>
          <w:i/>
          <w:iCs/>
        </w:rPr>
      </w:pPr>
    </w:p>
    <w:p w14:paraId="67E2941F" w14:textId="43531298" w:rsidR="001326B2" w:rsidRPr="007A3AE1" w:rsidRDefault="001326B2" w:rsidP="00CC0ABB">
      <w:pPr>
        <w:spacing w:after="0" w:line="288" w:lineRule="auto"/>
        <w:rPr>
          <w:rFonts w:ascii="Gotham Narrow Bold" w:hAnsi="Gotham Narrow Bold"/>
        </w:rPr>
      </w:pPr>
      <w:r w:rsidRPr="007A3AE1">
        <w:rPr>
          <w:rFonts w:ascii="Gotham Narrow Bold" w:hAnsi="Gotham Narrow Bold"/>
        </w:rPr>
        <w:t xml:space="preserve">Serviço Nacional de Aprendizagem Industrial – Departamento Regional do Paraná </w:t>
      </w:r>
      <w:r w:rsidR="007A3AE1" w:rsidRPr="007A3AE1">
        <w:rPr>
          <w:rFonts w:ascii="Gotham Narrow Bold" w:hAnsi="Gotham Narrow Bold"/>
        </w:rPr>
        <w:t>(</w:t>
      </w:r>
      <w:r w:rsidRPr="007A3AE1">
        <w:rPr>
          <w:rFonts w:ascii="Gotham Narrow Bold" w:hAnsi="Gotham Narrow Bold"/>
        </w:rPr>
        <w:t>Senai-PR</w:t>
      </w:r>
      <w:r w:rsidR="007A3AE1" w:rsidRPr="007A3AE1">
        <w:rPr>
          <w:rFonts w:ascii="Gotham Narrow Bold" w:hAnsi="Gotham Narrow Bold"/>
        </w:rPr>
        <w:t>)</w:t>
      </w:r>
    </w:p>
    <w:p w14:paraId="4877656E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7ACC49B0" w14:textId="77170067" w:rsidR="00FB1D33" w:rsidRPr="006416D7" w:rsidRDefault="00FB1D33" w:rsidP="00CC0ABB">
      <w:pPr>
        <w:spacing w:after="0" w:line="288" w:lineRule="auto"/>
        <w:rPr>
          <w:rFonts w:ascii="Gotham Light" w:hAnsi="Gotham Light"/>
          <w:i/>
          <w:iCs/>
          <w:highlight w:val="yellow"/>
        </w:rPr>
      </w:pPr>
      <w:r w:rsidRPr="006416D7">
        <w:rPr>
          <w:rFonts w:ascii="Gotham Light" w:hAnsi="Gotham Light"/>
          <w:i/>
          <w:iCs/>
          <w:highlight w:val="yellow"/>
        </w:rPr>
        <w:t>Diretor Regional</w:t>
      </w:r>
    </w:p>
    <w:p w14:paraId="7A5967E3" w14:textId="77777777" w:rsidR="001326B2" w:rsidRPr="007A3AE1" w:rsidRDefault="001326B2" w:rsidP="00CC0ABB">
      <w:pPr>
        <w:spacing w:after="0" w:line="288" w:lineRule="auto"/>
        <w:rPr>
          <w:rFonts w:ascii="Gotham Light" w:hAnsi="Gotham Light"/>
        </w:rPr>
      </w:pPr>
      <w:proofErr w:type="spellStart"/>
      <w:r w:rsidRPr="006416D7">
        <w:rPr>
          <w:rFonts w:ascii="Gotham Light" w:hAnsi="Gotham Light"/>
          <w:highlight w:val="yellow"/>
        </w:rPr>
        <w:t>xxxxxxxxxxxx</w:t>
      </w:r>
      <w:proofErr w:type="spellEnd"/>
    </w:p>
    <w:p w14:paraId="5FE786AD" w14:textId="77777777" w:rsidR="001326B2" w:rsidRDefault="001326B2" w:rsidP="00CC0ABB">
      <w:pPr>
        <w:spacing w:after="0" w:line="288" w:lineRule="auto"/>
        <w:rPr>
          <w:rFonts w:ascii="Garamond" w:hAnsi="Garamond"/>
        </w:rPr>
      </w:pPr>
    </w:p>
    <w:p w14:paraId="50268E89" w14:textId="77777777" w:rsidR="001326B2" w:rsidRPr="00D567B8" w:rsidRDefault="001326B2" w:rsidP="00CC0ABB">
      <w:pPr>
        <w:spacing w:after="0" w:line="288" w:lineRule="auto"/>
        <w:rPr>
          <w:rFonts w:ascii="Gotham Narrow Bold" w:hAnsi="Gotham Narrow Bold"/>
        </w:rPr>
      </w:pPr>
      <w:r w:rsidRPr="00D567B8">
        <w:rPr>
          <w:rFonts w:ascii="Gotham Narrow Bold" w:hAnsi="Gotham Narrow Bold"/>
        </w:rPr>
        <w:t>Observatório Sistema Fiep</w:t>
      </w:r>
    </w:p>
    <w:p w14:paraId="363F3275" w14:textId="77777777" w:rsidR="0081649A" w:rsidRDefault="0081649A" w:rsidP="00CC0ABB">
      <w:pPr>
        <w:spacing w:after="0" w:line="288" w:lineRule="auto"/>
        <w:rPr>
          <w:rFonts w:ascii="Gotham Light" w:hAnsi="Gotham Light"/>
          <w:i/>
          <w:iCs/>
        </w:rPr>
      </w:pPr>
    </w:p>
    <w:p w14:paraId="7E0470C6" w14:textId="277B0A19" w:rsidR="00D567B8" w:rsidRPr="00D567B8" w:rsidRDefault="00D567B8" w:rsidP="00CC0ABB">
      <w:pPr>
        <w:spacing w:after="0" w:line="288" w:lineRule="auto"/>
        <w:rPr>
          <w:rFonts w:ascii="Gotham Light" w:hAnsi="Gotham Light"/>
          <w:i/>
          <w:iCs/>
        </w:rPr>
      </w:pPr>
      <w:r w:rsidRPr="00D567B8">
        <w:rPr>
          <w:rFonts w:ascii="Gotham Light" w:hAnsi="Gotham Light"/>
          <w:i/>
          <w:iCs/>
        </w:rPr>
        <w:t>Gerente Executiva</w:t>
      </w:r>
    </w:p>
    <w:p w14:paraId="723708FD" w14:textId="77777777" w:rsidR="001326B2" w:rsidRPr="00D567B8" w:rsidRDefault="001326B2" w:rsidP="00CC0ABB">
      <w:pPr>
        <w:spacing w:after="0" w:line="288" w:lineRule="auto"/>
        <w:rPr>
          <w:rFonts w:ascii="Gotham Light" w:hAnsi="Gotham Light"/>
        </w:rPr>
      </w:pPr>
      <w:r w:rsidRPr="00D567B8">
        <w:rPr>
          <w:rFonts w:ascii="Gotham Light" w:hAnsi="Gotham Light"/>
        </w:rPr>
        <w:t>Marilia de Souza</w:t>
      </w:r>
    </w:p>
    <w:p w14:paraId="50FF1924" w14:textId="77777777" w:rsidR="001326B2" w:rsidRDefault="001326B2" w:rsidP="00CC0ABB">
      <w:pPr>
        <w:spacing w:after="0" w:line="288" w:lineRule="auto"/>
        <w:rPr>
          <w:rFonts w:ascii="Garamond" w:hAnsi="Garamond"/>
        </w:rPr>
      </w:pPr>
    </w:p>
    <w:p w14:paraId="2CDF21FC" w14:textId="77777777" w:rsidR="00D567B8" w:rsidRPr="00D567B8" w:rsidRDefault="00D567B8" w:rsidP="00CC0ABB">
      <w:pPr>
        <w:spacing w:after="0" w:line="288" w:lineRule="auto"/>
        <w:rPr>
          <w:rFonts w:ascii="Gotham Light" w:hAnsi="Gotham Light"/>
          <w:i/>
          <w:iCs/>
        </w:rPr>
      </w:pPr>
      <w:r w:rsidRPr="00D567B8">
        <w:rPr>
          <w:rFonts w:ascii="Gotham Light" w:hAnsi="Gotham Light"/>
          <w:i/>
          <w:iCs/>
        </w:rPr>
        <w:t>Coordenadora de Estudos e Pesquisas</w:t>
      </w:r>
    </w:p>
    <w:p w14:paraId="6574606E" w14:textId="77777777" w:rsidR="001326B2" w:rsidRPr="00D567B8" w:rsidRDefault="001326B2" w:rsidP="00CC0ABB">
      <w:pPr>
        <w:spacing w:after="0" w:line="288" w:lineRule="auto"/>
        <w:rPr>
          <w:rFonts w:ascii="Gotham Light" w:hAnsi="Gotham Light"/>
        </w:rPr>
      </w:pPr>
      <w:r w:rsidRPr="00D567B8">
        <w:rPr>
          <w:rFonts w:ascii="Gotham Light" w:hAnsi="Gotham Light"/>
        </w:rPr>
        <w:t>Raquel Valença</w:t>
      </w:r>
    </w:p>
    <w:p w14:paraId="3B72547F" w14:textId="77777777" w:rsidR="007D61E6" w:rsidRDefault="007D61E6">
      <w:pPr>
        <w:sectPr w:rsidR="007D61E6" w:rsidSect="007D61E6">
          <w:type w:val="continuous"/>
          <w:pgSz w:w="16838" w:h="11906" w:orient="landscape"/>
          <w:pgMar w:top="1701" w:right="1418" w:bottom="1701" w:left="1418" w:header="567" w:footer="680" w:gutter="0"/>
          <w:cols w:num="2" w:space="708"/>
          <w:docGrid w:linePitch="360"/>
        </w:sectPr>
      </w:pPr>
    </w:p>
    <w:p w14:paraId="5F16F330" w14:textId="68B679FA" w:rsidR="002F7C99" w:rsidRDefault="002F7C99">
      <w:pPr>
        <w:rPr>
          <w:rFonts w:ascii="Gotham Medium" w:hAnsi="Gotham Medium" w:cstheme="majorHAnsi"/>
          <w:color w:val="6360A7"/>
          <w:sz w:val="32"/>
          <w:szCs w:val="32"/>
        </w:rPr>
      </w:pPr>
      <w:r>
        <w:br w:type="page"/>
      </w:r>
    </w:p>
    <w:p w14:paraId="64BDE772" w14:textId="77777777" w:rsidR="005538AB" w:rsidRDefault="005538AB" w:rsidP="005538AB">
      <w:pPr>
        <w:pStyle w:val="TTULO01"/>
      </w:pPr>
      <w:r>
        <w:lastRenderedPageBreak/>
        <w:t>EQUIPE TÉCNICA</w:t>
      </w:r>
    </w:p>
    <w:p w14:paraId="4893FB9E" w14:textId="0E3AD458" w:rsidR="00455AA4" w:rsidRDefault="005538AB" w:rsidP="004F2903">
      <w:pPr>
        <w:pStyle w:val="TTULO02"/>
      </w:pPr>
      <w:r>
        <w:t>Observatório Sistema Fiep</w:t>
      </w:r>
    </w:p>
    <w:p w14:paraId="1B41161F" w14:textId="77777777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Coordenação Executiva</w:t>
      </w:r>
    </w:p>
    <w:p w14:paraId="2AFA59D0" w14:textId="77C07164" w:rsidR="004F2903" w:rsidRDefault="004F2903" w:rsidP="002F4B0F">
      <w:pPr>
        <w:spacing w:after="0" w:line="288" w:lineRule="auto"/>
        <w:rPr>
          <w:rFonts w:ascii="Gotham Light" w:hAnsi="Gotham Light"/>
        </w:rPr>
      </w:pPr>
      <w:r w:rsidRPr="00842AEA">
        <w:rPr>
          <w:rFonts w:ascii="Gotham Light" w:hAnsi="Gotham Light"/>
        </w:rPr>
        <w:t>Marilia de Souza</w:t>
      </w:r>
    </w:p>
    <w:p w14:paraId="2CCAF287" w14:textId="77777777" w:rsidR="00842AEA" w:rsidRPr="00842AEA" w:rsidRDefault="00842AEA" w:rsidP="002F4B0F">
      <w:pPr>
        <w:spacing w:after="0" w:line="288" w:lineRule="auto"/>
        <w:rPr>
          <w:rFonts w:ascii="Gotham Light" w:hAnsi="Gotham Light"/>
        </w:rPr>
      </w:pPr>
    </w:p>
    <w:p w14:paraId="61543D07" w14:textId="77777777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Coordenação Técnica</w:t>
      </w:r>
    </w:p>
    <w:p w14:paraId="77B625C8" w14:textId="00C6FFC9" w:rsidR="004F2903" w:rsidRDefault="004F2903" w:rsidP="002F4B0F">
      <w:pPr>
        <w:spacing w:after="0" w:line="288" w:lineRule="auto"/>
        <w:rPr>
          <w:rFonts w:ascii="Gotham Light" w:hAnsi="Gotham Light"/>
        </w:rPr>
      </w:pPr>
      <w:r w:rsidRPr="00842AEA">
        <w:rPr>
          <w:rFonts w:ascii="Gotham Light" w:hAnsi="Gotham Light"/>
        </w:rPr>
        <w:t>Raquel Valença</w:t>
      </w:r>
    </w:p>
    <w:p w14:paraId="6D4F7438" w14:textId="77777777" w:rsidR="00842AEA" w:rsidRPr="00842AEA" w:rsidRDefault="00842AEA" w:rsidP="002F4B0F">
      <w:pPr>
        <w:spacing w:after="0" w:line="288" w:lineRule="auto"/>
        <w:rPr>
          <w:rFonts w:ascii="Gotham Light" w:hAnsi="Gotham Light"/>
        </w:rPr>
      </w:pPr>
    </w:p>
    <w:p w14:paraId="21D46D9B" w14:textId="77777777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Organização Técnica</w:t>
      </w:r>
    </w:p>
    <w:p w14:paraId="6D7DA833" w14:textId="0B8DE27B" w:rsidR="004F2903" w:rsidRDefault="00842AEA" w:rsidP="002F4B0F">
      <w:pPr>
        <w:spacing w:after="0" w:line="288" w:lineRule="auto"/>
        <w:rPr>
          <w:rFonts w:ascii="Gotham Light" w:hAnsi="Gotham Light"/>
        </w:rPr>
      </w:pPr>
      <w:r>
        <w:rPr>
          <w:rFonts w:ascii="Gotham Light" w:hAnsi="Gotham Light"/>
        </w:rPr>
        <w:t>Juliane Bazzo</w:t>
      </w:r>
    </w:p>
    <w:p w14:paraId="250A9410" w14:textId="77777777" w:rsidR="00842AEA" w:rsidRPr="00842AEA" w:rsidRDefault="00842AEA" w:rsidP="002F4B0F">
      <w:pPr>
        <w:spacing w:after="0" w:line="288" w:lineRule="auto"/>
        <w:rPr>
          <w:rFonts w:ascii="Gotham Light" w:hAnsi="Gotham Light"/>
        </w:rPr>
      </w:pPr>
    </w:p>
    <w:p w14:paraId="08AAA504" w14:textId="77777777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Autoria</w:t>
      </w:r>
    </w:p>
    <w:p w14:paraId="5AC54DC2" w14:textId="77777777" w:rsidR="00813281" w:rsidRPr="00842AEA" w:rsidRDefault="00813281" w:rsidP="002F4B0F">
      <w:pPr>
        <w:spacing w:after="0" w:line="288" w:lineRule="auto"/>
        <w:rPr>
          <w:rFonts w:ascii="Gotham Light" w:hAnsi="Gotham Light"/>
        </w:rPr>
      </w:pPr>
      <w:r>
        <w:rPr>
          <w:rFonts w:ascii="Gotham Light" w:hAnsi="Gotham Light"/>
        </w:rPr>
        <w:t>Juliane Bazzo</w:t>
      </w:r>
    </w:p>
    <w:p w14:paraId="174BA180" w14:textId="77777777" w:rsidR="00813281" w:rsidRDefault="00813281" w:rsidP="002F4B0F">
      <w:pPr>
        <w:spacing w:after="0" w:line="288" w:lineRule="auto"/>
        <w:rPr>
          <w:rFonts w:ascii="Gotham Light" w:hAnsi="Gotham Light"/>
        </w:rPr>
      </w:pPr>
      <w:r>
        <w:rPr>
          <w:rFonts w:ascii="Gotham Light" w:hAnsi="Gotham Light"/>
        </w:rPr>
        <w:t>Michelli Gonçalves Stumm</w:t>
      </w:r>
    </w:p>
    <w:p w14:paraId="4B7F7587" w14:textId="77777777" w:rsidR="00813281" w:rsidRPr="00842AEA" w:rsidRDefault="00813281" w:rsidP="002F4B0F">
      <w:pPr>
        <w:spacing w:after="0" w:line="288" w:lineRule="auto"/>
        <w:rPr>
          <w:rFonts w:ascii="Gotham Light" w:hAnsi="Gotham Light"/>
        </w:rPr>
      </w:pPr>
      <w:r w:rsidRPr="00842AEA">
        <w:rPr>
          <w:rFonts w:ascii="Gotham Light" w:hAnsi="Gotham Light"/>
        </w:rPr>
        <w:t>Raquel Valença</w:t>
      </w:r>
    </w:p>
    <w:p w14:paraId="433757B9" w14:textId="77777777" w:rsidR="00992A73" w:rsidRDefault="00992A73" w:rsidP="002F4B0F">
      <w:pPr>
        <w:spacing w:after="0" w:line="288" w:lineRule="auto"/>
        <w:rPr>
          <w:rFonts w:ascii="Gotham Light" w:hAnsi="Gotham Light"/>
        </w:rPr>
      </w:pPr>
    </w:p>
    <w:p w14:paraId="3153E95C" w14:textId="3CC3EBBC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Projeto Gráfico e Diagramação</w:t>
      </w:r>
    </w:p>
    <w:p w14:paraId="7B2C46C2" w14:textId="77777777" w:rsidR="004F2903" w:rsidRPr="00842AEA" w:rsidRDefault="004F2903" w:rsidP="002F4B0F">
      <w:pPr>
        <w:spacing w:after="0" w:line="288" w:lineRule="auto"/>
        <w:rPr>
          <w:rFonts w:ascii="Gotham Light" w:hAnsi="Gotham Light"/>
        </w:rPr>
      </w:pPr>
      <w:r w:rsidRPr="00842AEA">
        <w:rPr>
          <w:rFonts w:ascii="Gotham Light" w:hAnsi="Gotham Light"/>
        </w:rPr>
        <w:t>Katia Villagra</w:t>
      </w:r>
    </w:p>
    <w:p w14:paraId="0ADEC1EE" w14:textId="77777777" w:rsidR="00992A73" w:rsidRDefault="00992A73" w:rsidP="002F4B0F">
      <w:pPr>
        <w:spacing w:after="0" w:line="288" w:lineRule="auto"/>
        <w:rPr>
          <w:rFonts w:ascii="Gotham Light" w:hAnsi="Gotham Light"/>
        </w:rPr>
      </w:pPr>
    </w:p>
    <w:p w14:paraId="6CA38699" w14:textId="3D2D3889" w:rsidR="004F2903" w:rsidRPr="00992A73" w:rsidRDefault="004F2903" w:rsidP="002F4B0F">
      <w:pPr>
        <w:spacing w:after="0" w:line="288" w:lineRule="auto"/>
        <w:rPr>
          <w:rFonts w:ascii="Gotham Light" w:hAnsi="Gotham Light"/>
          <w:i/>
          <w:iCs/>
        </w:rPr>
      </w:pPr>
      <w:r w:rsidRPr="00992A73">
        <w:rPr>
          <w:rFonts w:ascii="Gotham Light" w:hAnsi="Gotham Light"/>
          <w:i/>
          <w:iCs/>
        </w:rPr>
        <w:t>Revisão</w:t>
      </w:r>
    </w:p>
    <w:p w14:paraId="184252EB" w14:textId="2FAC084C" w:rsidR="005538AB" w:rsidRPr="00292748" w:rsidRDefault="004F2903" w:rsidP="002F4B0F">
      <w:pPr>
        <w:spacing w:after="0" w:line="288" w:lineRule="auto"/>
        <w:rPr>
          <w:rFonts w:ascii="Gotham Light" w:hAnsi="Gotham Light"/>
        </w:rPr>
      </w:pPr>
      <w:r w:rsidRPr="00842AEA">
        <w:rPr>
          <w:rFonts w:ascii="Gotham Light" w:hAnsi="Gotham Light"/>
        </w:rPr>
        <w:t>Camila Rigon Peixoto</w:t>
      </w:r>
      <w:r w:rsidR="005538AB">
        <w:br w:type="page"/>
      </w:r>
    </w:p>
    <w:p w14:paraId="0B3B07B5" w14:textId="37B790FF" w:rsidR="007B4B4D" w:rsidRPr="00F22A9D" w:rsidRDefault="00650FAD" w:rsidP="00BD5899">
      <w:pPr>
        <w:pStyle w:val="TTULO01"/>
        <w:spacing w:before="360"/>
        <w:rPr>
          <w:sz w:val="26"/>
          <w:szCs w:val="26"/>
        </w:rPr>
      </w:pPr>
      <w:r w:rsidRPr="00F22A9D">
        <w:lastRenderedPageBreak/>
        <w:t>INTRODUÇÃO</w:t>
      </w:r>
    </w:p>
    <w:p w14:paraId="12F4DC7B" w14:textId="77777777" w:rsidR="00B03A99" w:rsidRPr="00636A57" w:rsidRDefault="00B03A99" w:rsidP="00ED3C9E">
      <w:p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636A57">
        <w:rPr>
          <w:rFonts w:ascii="Gotham Light" w:hAnsi="Gotham Light" w:cstheme="majorHAnsi"/>
          <w:sz w:val="24"/>
          <w:szCs w:val="24"/>
        </w:rPr>
        <w:t>A Análise SWOT configura uma ferramenta internacionalmente consolidada no campo da Administração, cujo propósito é identificar forças (</w:t>
      </w:r>
      <w:proofErr w:type="spellStart"/>
      <w:r w:rsidRPr="00636A57">
        <w:rPr>
          <w:rFonts w:ascii="Gotham Light" w:hAnsi="Gotham Light" w:cstheme="majorHAnsi"/>
          <w:i/>
          <w:iCs/>
          <w:sz w:val="24"/>
          <w:szCs w:val="24"/>
        </w:rPr>
        <w:t>strengths</w:t>
      </w:r>
      <w:proofErr w:type="spellEnd"/>
      <w:r w:rsidRPr="00636A57">
        <w:rPr>
          <w:rFonts w:ascii="Gotham Light" w:hAnsi="Gotham Light" w:cstheme="majorHAnsi"/>
          <w:sz w:val="24"/>
          <w:szCs w:val="24"/>
        </w:rPr>
        <w:t>) e fraquezas (</w:t>
      </w:r>
      <w:proofErr w:type="spellStart"/>
      <w:r w:rsidRPr="00636A57">
        <w:rPr>
          <w:rFonts w:ascii="Gotham Light" w:hAnsi="Gotham Light" w:cstheme="majorHAnsi"/>
          <w:i/>
          <w:iCs/>
          <w:sz w:val="24"/>
          <w:szCs w:val="24"/>
        </w:rPr>
        <w:t>weakness</w:t>
      </w:r>
      <w:proofErr w:type="spellEnd"/>
      <w:r w:rsidRPr="00636A57">
        <w:rPr>
          <w:rFonts w:ascii="Gotham Light" w:hAnsi="Gotham Light" w:cstheme="majorHAnsi"/>
          <w:sz w:val="24"/>
          <w:szCs w:val="24"/>
        </w:rPr>
        <w:t>) no ambiente interno, assim como oportunidades (</w:t>
      </w:r>
      <w:proofErr w:type="spellStart"/>
      <w:r w:rsidRPr="00636A57">
        <w:rPr>
          <w:rFonts w:ascii="Gotham Light" w:hAnsi="Gotham Light" w:cstheme="majorHAnsi"/>
          <w:i/>
          <w:iCs/>
          <w:sz w:val="24"/>
          <w:szCs w:val="24"/>
        </w:rPr>
        <w:t>opportunities</w:t>
      </w:r>
      <w:proofErr w:type="spellEnd"/>
      <w:r w:rsidRPr="00636A57">
        <w:rPr>
          <w:rFonts w:ascii="Gotham Light" w:hAnsi="Gotham Light" w:cstheme="majorHAnsi"/>
          <w:sz w:val="24"/>
          <w:szCs w:val="24"/>
        </w:rPr>
        <w:t>) e ameaças (</w:t>
      </w:r>
      <w:proofErr w:type="spellStart"/>
      <w:r w:rsidRPr="00636A57">
        <w:rPr>
          <w:rFonts w:ascii="Gotham Light" w:hAnsi="Gotham Light" w:cstheme="majorHAnsi"/>
          <w:i/>
          <w:iCs/>
          <w:sz w:val="24"/>
          <w:szCs w:val="24"/>
        </w:rPr>
        <w:t>threats</w:t>
      </w:r>
      <w:proofErr w:type="spellEnd"/>
      <w:r w:rsidRPr="00636A57">
        <w:rPr>
          <w:rFonts w:ascii="Gotham Light" w:hAnsi="Gotham Light" w:cstheme="majorHAnsi"/>
          <w:sz w:val="24"/>
          <w:szCs w:val="24"/>
        </w:rPr>
        <w:t xml:space="preserve">) no ambiente externo, de um certo âmbito desejado, que pode vir a ser uma organização, um nicho de negócio ou setor produtivo, por exemplo. </w:t>
      </w:r>
    </w:p>
    <w:p w14:paraId="56BB058B" w14:textId="77777777" w:rsidR="00B03A99" w:rsidRPr="00636A57" w:rsidRDefault="00B03A99" w:rsidP="00ED3C9E">
      <w:pPr>
        <w:pStyle w:val="Estilo2"/>
        <w:spacing w:line="288" w:lineRule="auto"/>
        <w:rPr>
          <w:rFonts w:ascii="Gotham Light" w:hAnsi="Gotham Light"/>
        </w:rPr>
      </w:pPr>
      <w:r w:rsidRPr="00636A57">
        <w:rPr>
          <w:rFonts w:ascii="Gotham Light" w:hAnsi="Gotham Light"/>
        </w:rPr>
        <w:t xml:space="preserve">Ao permitir uma reflexão que se dá de forma objetiva e sob diversos pontos de vista, esse instrumento possibilita aprofundar o conhecimento do objeto em foco e compreender de modo amplificado seu contexto de entorno. Desse modo, propicia a elaboração de planos de ação assertivos, com vistas à construção de futuros desejados. </w:t>
      </w:r>
    </w:p>
    <w:p w14:paraId="5FD07B70" w14:textId="77777777" w:rsidR="00B03A99" w:rsidRPr="00DD1AB6" w:rsidRDefault="00B03A99" w:rsidP="00ED3C9E">
      <w:p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DD1AB6">
        <w:rPr>
          <w:rFonts w:ascii="Gotham Light" w:hAnsi="Gotham Light" w:cstheme="majorHAnsi"/>
          <w:sz w:val="24"/>
          <w:szCs w:val="24"/>
        </w:rPr>
        <w:t xml:space="preserve">Este relatório apresenta a análise empreendida para a Região Oeste do Paraná, como parte integrante do projeto </w:t>
      </w:r>
      <w:r w:rsidRPr="00DD1AB6">
        <w:rPr>
          <w:rFonts w:ascii="Gotham Light" w:hAnsi="Gotham Light" w:cstheme="majorHAnsi"/>
          <w:i/>
          <w:iCs/>
          <w:sz w:val="24"/>
          <w:szCs w:val="24"/>
        </w:rPr>
        <w:t>Paraná 2040 - Rotas Estratégicas de Ciência, Tecnologia &amp; Inovação</w:t>
      </w:r>
      <w:r w:rsidRPr="00DD1AB6">
        <w:rPr>
          <w:rFonts w:ascii="Gotham Light" w:hAnsi="Gotham Light" w:cstheme="majorHAnsi"/>
          <w:sz w:val="24"/>
          <w:szCs w:val="24"/>
        </w:rPr>
        <w:t xml:space="preserve">. Tal esforço contemplou dois momentos analíticos: o primeiro envolveu a revisão de literatura existente sobre diversos aspectos da espacialidade em vitrine, enquanto o segundo abrangeu a validação dos dados levantados, bem como sua ampliação, pela consulta a 101 especialistas locais, por meio de um painel interativo, realizado </w:t>
      </w:r>
      <w:r w:rsidRPr="00DD1AB6">
        <w:rPr>
          <w:rFonts w:ascii="Gotham Light" w:hAnsi="Gotham Light" w:cstheme="majorHAnsi"/>
          <w:i/>
          <w:iCs/>
          <w:sz w:val="24"/>
          <w:szCs w:val="24"/>
        </w:rPr>
        <w:t>on-line</w:t>
      </w:r>
      <w:r w:rsidRPr="00DD1AB6">
        <w:rPr>
          <w:rFonts w:ascii="Gotham Light" w:hAnsi="Gotham Light" w:cstheme="majorHAnsi"/>
          <w:sz w:val="24"/>
          <w:szCs w:val="24"/>
        </w:rPr>
        <w:t xml:space="preserve"> em 10 de junho de 2021. </w:t>
      </w:r>
    </w:p>
    <w:p w14:paraId="5C1C5EA3" w14:textId="77777777" w:rsidR="00B03A99" w:rsidRPr="00636A57" w:rsidRDefault="00B03A99" w:rsidP="00ED3C9E">
      <w:p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636A57">
        <w:rPr>
          <w:rFonts w:ascii="Gotham Light" w:hAnsi="Gotham Light" w:cstheme="majorHAnsi"/>
          <w:sz w:val="24"/>
          <w:szCs w:val="24"/>
        </w:rPr>
        <w:t>A seguir, são apresentados os resultados globais do diagnóstico SWOT da região, obtidos pelo entrecruzamento dos conteúdos mapeados nas duas etapas de reflexão</w:t>
      </w:r>
      <w:r w:rsidRPr="00636A57">
        <w:rPr>
          <w:rStyle w:val="Refdenotaderodap"/>
          <w:rFonts w:ascii="Gotham Light" w:hAnsi="Gotham Light" w:cstheme="majorHAnsi"/>
          <w:sz w:val="24"/>
          <w:szCs w:val="24"/>
        </w:rPr>
        <w:footnoteReference w:id="1"/>
      </w:r>
      <w:r w:rsidRPr="00636A57">
        <w:rPr>
          <w:rFonts w:ascii="Gotham Light" w:hAnsi="Gotham Light" w:cstheme="majorHAnsi"/>
          <w:sz w:val="24"/>
          <w:szCs w:val="24"/>
        </w:rPr>
        <w:t xml:space="preserve">. </w:t>
      </w:r>
    </w:p>
    <w:p w14:paraId="0C7EB0D5" w14:textId="77777777" w:rsidR="008D3A6B" w:rsidRDefault="008D3A6B" w:rsidP="00650F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189EF651" w14:textId="1BE86392" w:rsidR="00650FAD" w:rsidRPr="00F87740" w:rsidRDefault="00650FAD" w:rsidP="007F74F4">
      <w:pPr>
        <w:pStyle w:val="TTULO01"/>
      </w:pPr>
      <w:r w:rsidRPr="00F87740">
        <w:lastRenderedPageBreak/>
        <w:t>AMBIENTE INTERNO</w:t>
      </w:r>
    </w:p>
    <w:p w14:paraId="71CE78DD" w14:textId="2C54954B" w:rsidR="00650FAD" w:rsidRPr="007F74F4" w:rsidRDefault="00650FAD" w:rsidP="007F74F4">
      <w:pPr>
        <w:pStyle w:val="TTULO02"/>
        <w:rPr>
          <w:sz w:val="24"/>
          <w:szCs w:val="24"/>
        </w:rPr>
      </w:pPr>
      <w:r w:rsidRPr="007F74F4">
        <w:t>Forças</w:t>
      </w:r>
    </w:p>
    <w:p w14:paraId="0F0BB0D9" w14:textId="7455288B" w:rsidR="007D104A" w:rsidRPr="00CA116B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CA116B">
        <w:rPr>
          <w:rFonts w:ascii="Gotham Light" w:hAnsi="Gotham Light" w:cstheme="majorHAnsi"/>
          <w:b/>
          <w:bCs/>
          <w:sz w:val="24"/>
          <w:szCs w:val="24"/>
        </w:rPr>
        <w:t>Território e ambiente</w:t>
      </w:r>
      <w:r w:rsidR="00F42322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2"/>
      </w:r>
    </w:p>
    <w:p w14:paraId="7EDE3DA0" w14:textId="77777777" w:rsidR="009028B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>A região faz fronteira com Argentina e Paraguai, possuindo como principais divisas os rios Piquiri, Paraná e Iguaçu.</w:t>
      </w:r>
    </w:p>
    <w:p w14:paraId="2EEF1A1D" w14:textId="77777777" w:rsidR="009028B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 xml:space="preserve">Cascavel, Foz do Iguaçu e Toledo são os municípios com maior influência no fluxo de informações, bens e serviços regionais. </w:t>
      </w:r>
    </w:p>
    <w:p w14:paraId="25C98F19" w14:textId="1DEA6B72" w:rsidR="009028B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 xml:space="preserve">O total de florestas presentes na espacialidade, segundo estatísticas de 2002, representa 11% da cobertura vegetal existente no </w:t>
      </w:r>
      <w:r w:rsidR="00CC201D" w:rsidRPr="00F42322">
        <w:rPr>
          <w:rFonts w:ascii="Gotham Light" w:hAnsi="Gotham Light" w:cstheme="majorHAnsi"/>
          <w:sz w:val="24"/>
          <w:szCs w:val="24"/>
        </w:rPr>
        <w:t>e</w:t>
      </w:r>
      <w:r w:rsidRPr="00F42322">
        <w:rPr>
          <w:rFonts w:ascii="Gotham Light" w:hAnsi="Gotham Light" w:cstheme="majorHAnsi"/>
          <w:sz w:val="24"/>
          <w:szCs w:val="24"/>
        </w:rPr>
        <w:t>stado.</w:t>
      </w:r>
    </w:p>
    <w:p w14:paraId="40836D47" w14:textId="77777777" w:rsidR="009028B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>Possui uma unidade de conservação federal de proteção integral, o Parque Nacional do Iguaçu, bem como duas unidades de conservação estaduais, em Três Barras do Paraná e Palotina.</w:t>
      </w:r>
    </w:p>
    <w:p w14:paraId="0D04034E" w14:textId="77777777" w:rsidR="009028B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 xml:space="preserve">Abrange terras indígenas especialmente protegidas, reconhecidas pela Fundação Nacional do Índio (Funai). </w:t>
      </w:r>
    </w:p>
    <w:p w14:paraId="5C4D17E6" w14:textId="404E9082" w:rsidR="007D104A" w:rsidRPr="00F42322" w:rsidRDefault="009028BA" w:rsidP="00274997">
      <w:pPr>
        <w:pStyle w:val="PargrafodaLista"/>
        <w:numPr>
          <w:ilvl w:val="0"/>
          <w:numId w:val="2"/>
        </w:numPr>
        <w:spacing w:line="288" w:lineRule="auto"/>
        <w:jc w:val="both"/>
        <w:rPr>
          <w:rFonts w:ascii="Gotham Narrow Light" w:hAnsi="Gotham Narrow Light" w:cstheme="majorHAnsi"/>
          <w:sz w:val="24"/>
          <w:szCs w:val="24"/>
        </w:rPr>
      </w:pPr>
      <w:r w:rsidRPr="00F42322">
        <w:rPr>
          <w:rFonts w:ascii="Gotham Light" w:hAnsi="Gotham Light" w:cstheme="majorHAnsi"/>
          <w:sz w:val="24"/>
          <w:szCs w:val="24"/>
        </w:rPr>
        <w:t>Conta com projetos de assentamento encabeçados pelo Instituto Nacional de Colonização e Reforma Agrária (Incra).</w:t>
      </w:r>
    </w:p>
    <w:p w14:paraId="7A51973F" w14:textId="435D947A" w:rsidR="007D104A" w:rsidRPr="00CA116B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CA116B">
        <w:rPr>
          <w:rFonts w:ascii="Gotham Light" w:hAnsi="Gotham Light" w:cstheme="majorHAnsi"/>
          <w:b/>
          <w:bCs/>
          <w:sz w:val="24"/>
          <w:szCs w:val="24"/>
        </w:rPr>
        <w:t>População</w:t>
      </w:r>
      <w:r w:rsidR="00956AE6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3"/>
      </w:r>
    </w:p>
    <w:p w14:paraId="1DB8A335" w14:textId="77777777" w:rsidR="009028BA" w:rsidRPr="00311B4C" w:rsidRDefault="009028BA" w:rsidP="00274997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 região tem 1,3 milhão de habitantes, representando 11% da população estadual.</w:t>
      </w:r>
    </w:p>
    <w:p w14:paraId="4F59EF83" w14:textId="7ED3331C" w:rsidR="009028BA" w:rsidRPr="00311B4C" w:rsidRDefault="009028BA" w:rsidP="00274997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 densidade demográfica da espacialidade é mediana (58 habitantes por km2).</w:t>
      </w:r>
    </w:p>
    <w:p w14:paraId="48464477" w14:textId="77777777" w:rsidR="009028BA" w:rsidRPr="00311B4C" w:rsidRDefault="009028BA" w:rsidP="00274997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Apresenta alto Índice Desenvolvimento Humano (IDH) e a dimensão que mais contribui para tal desempenho é a longevidade populacional.</w:t>
      </w:r>
    </w:p>
    <w:p w14:paraId="67F73CD9" w14:textId="21950D86" w:rsidR="007D104A" w:rsidRPr="00311B4C" w:rsidRDefault="009028BA" w:rsidP="00274997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O Oeste paranaense registrou significativo decréscimo da proporção de pessoas em situação de pobreza nos últimos anos</w:t>
      </w:r>
      <w:r w:rsidR="009D0E98" w:rsidRPr="00311B4C">
        <w:rPr>
          <w:rFonts w:ascii="Gotham Light" w:hAnsi="Gotham Light" w:cstheme="majorHAnsi"/>
          <w:sz w:val="24"/>
          <w:szCs w:val="24"/>
        </w:rPr>
        <w:t>.</w:t>
      </w:r>
    </w:p>
    <w:p w14:paraId="2448E4C5" w14:textId="6E356672" w:rsidR="007D104A" w:rsidRPr="00ED235F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ED235F">
        <w:rPr>
          <w:rFonts w:ascii="Gotham Light" w:hAnsi="Gotham Light" w:cstheme="majorHAnsi"/>
          <w:b/>
          <w:bCs/>
          <w:sz w:val="24"/>
          <w:szCs w:val="24"/>
        </w:rPr>
        <w:lastRenderedPageBreak/>
        <w:t>Economia</w:t>
      </w:r>
      <w:r w:rsidR="00956AE6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4"/>
      </w:r>
    </w:p>
    <w:p w14:paraId="2F31FF54" w14:textId="67C2529D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 região sedia a Itaipu Binacional, maior geradora de energia hidrelétrica do mundo, que abastece o Brasil e o Paraguai</w:t>
      </w:r>
      <w:r w:rsidR="004E5570">
        <w:rPr>
          <w:rFonts w:ascii="Gotham Light" w:hAnsi="Gotham Light" w:cstheme="majorHAnsi"/>
          <w:sz w:val="24"/>
          <w:szCs w:val="24"/>
        </w:rPr>
        <w:t>.</w:t>
      </w:r>
    </w:p>
    <w:p w14:paraId="2C1CF84F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O Oeste paranaense situa-se como um dos maiores polos hídricos do mundo.</w:t>
      </w:r>
    </w:p>
    <w:p w14:paraId="6E6EAA6A" w14:textId="28EDE4BB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 xml:space="preserve">Possui forte presença de produção agropecuária em quase todos os municípios, de grande importância para o </w:t>
      </w:r>
      <w:r w:rsidR="007926B6">
        <w:rPr>
          <w:rFonts w:ascii="Gotham Light" w:hAnsi="Gotham Light" w:cstheme="majorHAnsi"/>
          <w:sz w:val="24"/>
          <w:szCs w:val="24"/>
        </w:rPr>
        <w:t>e</w:t>
      </w:r>
      <w:r w:rsidRPr="00311B4C">
        <w:rPr>
          <w:rFonts w:ascii="Gotham Light" w:hAnsi="Gotham Light" w:cstheme="majorHAnsi"/>
          <w:sz w:val="24"/>
          <w:szCs w:val="24"/>
        </w:rPr>
        <w:t>stado.</w:t>
      </w:r>
    </w:p>
    <w:p w14:paraId="268C9BCC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As culturas de milho, soja e trigo são os principais destaques.</w:t>
      </w:r>
    </w:p>
    <w:p w14:paraId="7B419B2D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Erva-mate, lenha e pinhão constituem os produtos extrativistas de maior evidência.</w:t>
      </w:r>
    </w:p>
    <w:p w14:paraId="1EEB04C9" w14:textId="65C17812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 xml:space="preserve">A região se sobressai na produção de tilápias, detendo grande contribuição nessa frente ao </w:t>
      </w:r>
      <w:r w:rsidR="007926B6">
        <w:rPr>
          <w:rFonts w:ascii="Gotham Light" w:hAnsi="Gotham Light" w:cstheme="majorHAnsi"/>
          <w:sz w:val="24"/>
          <w:szCs w:val="24"/>
        </w:rPr>
        <w:t>e</w:t>
      </w:r>
      <w:r w:rsidRPr="00311B4C">
        <w:rPr>
          <w:rFonts w:ascii="Gotham Light" w:hAnsi="Gotham Light" w:cstheme="majorHAnsi"/>
          <w:sz w:val="24"/>
          <w:szCs w:val="24"/>
        </w:rPr>
        <w:t>stado.</w:t>
      </w:r>
    </w:p>
    <w:p w14:paraId="39235B2D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 xml:space="preserve">Destaca-se na produção de galináceos, leite e ovos, sendo a grande região fornecedora estadual. </w:t>
      </w:r>
    </w:p>
    <w:p w14:paraId="1C6DA41E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Apresenta ainda relevância nacional na produção de suínos.</w:t>
      </w:r>
    </w:p>
    <w:p w14:paraId="353DD36A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Alcança notoriedade na produção de biogás originado de biomassa de dejetos de animais.</w:t>
      </w:r>
    </w:p>
    <w:p w14:paraId="1FE44C0C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 xml:space="preserve">A cultura </w:t>
      </w:r>
      <w:proofErr w:type="spellStart"/>
      <w:r w:rsidRPr="00311B4C">
        <w:rPr>
          <w:rFonts w:ascii="Gotham Light" w:hAnsi="Gotham Light" w:cstheme="majorHAnsi"/>
          <w:sz w:val="24"/>
          <w:szCs w:val="24"/>
        </w:rPr>
        <w:t>associativista</w:t>
      </w:r>
      <w:proofErr w:type="spellEnd"/>
      <w:r w:rsidRPr="00311B4C">
        <w:rPr>
          <w:rFonts w:ascii="Gotham Light" w:hAnsi="Gotham Light" w:cstheme="majorHAnsi"/>
          <w:sz w:val="24"/>
          <w:szCs w:val="24"/>
        </w:rPr>
        <w:t xml:space="preserve"> é bem desenvolvida na espacialidade, com significativo percentual de seus estabelecimentos agropecuários vinculados a cooperativas locais, algumas delas situadas entre as maiores do Paraná. </w:t>
      </w:r>
    </w:p>
    <w:p w14:paraId="1446273A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Foz do Iguaçu destaca-se no cenário de turismo nacional como uma das três cidades mais visitadas do Brasil. O município abriga um dos principais polos turísticos do país, o Parque Nacional do Iguaçu.</w:t>
      </w:r>
    </w:p>
    <w:p w14:paraId="625B9EC1" w14:textId="77777777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O Oeste tem a terceira maior concentração de atividades econômicas, representando 15,5% do estado.</w:t>
      </w:r>
    </w:p>
    <w:p w14:paraId="6FE64547" w14:textId="075CC01F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Centraliza 17% do valor adicionado pela atividade primária ao PIB estadual.</w:t>
      </w:r>
    </w:p>
    <w:p w14:paraId="6FFC9599" w14:textId="0C431DFC" w:rsidR="009D0E98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Representa 40% do valor adicionado pela indústria ao PIB estadual.</w:t>
      </w:r>
    </w:p>
    <w:p w14:paraId="018C5D76" w14:textId="05E21348" w:rsidR="007D104A" w:rsidRPr="00311B4C" w:rsidRDefault="009D0E98" w:rsidP="00274997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311B4C">
        <w:rPr>
          <w:rFonts w:ascii="Gotham Light" w:hAnsi="Gotham Light" w:cstheme="majorHAnsi"/>
          <w:sz w:val="24"/>
          <w:szCs w:val="24"/>
        </w:rPr>
        <w:t>Concentra 12% do valor adicionado pelo setor de comércio e serviços ao PIB estadual.</w:t>
      </w:r>
    </w:p>
    <w:p w14:paraId="2A38D9BF" w14:textId="155EE1F0" w:rsidR="007D104A" w:rsidRPr="00ED235F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ED235F">
        <w:rPr>
          <w:rFonts w:ascii="Gotham Light" w:hAnsi="Gotham Light" w:cstheme="majorHAnsi"/>
          <w:b/>
          <w:bCs/>
          <w:sz w:val="24"/>
          <w:szCs w:val="24"/>
        </w:rPr>
        <w:t>Educação</w:t>
      </w:r>
      <w:r w:rsidR="00956AE6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5"/>
      </w:r>
    </w:p>
    <w:p w14:paraId="7FBF5BE7" w14:textId="2C9BFD92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Na </w:t>
      </w:r>
      <w:r w:rsidR="00050658" w:rsidRPr="00F34A19">
        <w:rPr>
          <w:rFonts w:ascii="Gotham Light" w:hAnsi="Gotham Light" w:cstheme="majorHAnsi"/>
          <w:sz w:val="24"/>
          <w:szCs w:val="24"/>
        </w:rPr>
        <w:t>educação básica</w:t>
      </w:r>
      <w:r w:rsidRPr="00F34A19">
        <w:rPr>
          <w:rFonts w:ascii="Gotham Light" w:hAnsi="Gotham Light" w:cstheme="majorHAnsi"/>
          <w:sz w:val="24"/>
          <w:szCs w:val="24"/>
        </w:rPr>
        <w:t>, o Oeste paranaense registra 312 mil matrículas, o que representa algo em torno de 12% do total estadual.</w:t>
      </w:r>
    </w:p>
    <w:p w14:paraId="6B35B6DC" w14:textId="71EB61E4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lastRenderedPageBreak/>
        <w:t xml:space="preserve">Na </w:t>
      </w:r>
      <w:r w:rsidR="00050658" w:rsidRPr="00F34A19">
        <w:rPr>
          <w:rFonts w:ascii="Gotham Light" w:hAnsi="Gotham Light" w:cstheme="majorHAnsi"/>
          <w:sz w:val="24"/>
          <w:szCs w:val="24"/>
        </w:rPr>
        <w:t>educação profissional</w:t>
      </w:r>
      <w:r w:rsidRPr="00F34A19">
        <w:rPr>
          <w:rFonts w:ascii="Gotham Light" w:hAnsi="Gotham Light" w:cstheme="majorHAnsi"/>
          <w:sz w:val="24"/>
          <w:szCs w:val="24"/>
        </w:rPr>
        <w:t>, concentra pouco mais de 11% das matrículas do Paraná (15 mil).</w:t>
      </w:r>
    </w:p>
    <w:p w14:paraId="06B4FF33" w14:textId="6E17499B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No </w:t>
      </w:r>
      <w:r w:rsidR="00057359" w:rsidRPr="00F34A19">
        <w:rPr>
          <w:rFonts w:ascii="Gotham Light" w:hAnsi="Gotham Light" w:cstheme="majorHAnsi"/>
          <w:sz w:val="24"/>
          <w:szCs w:val="24"/>
        </w:rPr>
        <w:t>ensino superior</w:t>
      </w:r>
      <w:r w:rsidRPr="00F34A19">
        <w:rPr>
          <w:rFonts w:ascii="Gotham Light" w:hAnsi="Gotham Light" w:cstheme="majorHAnsi"/>
          <w:sz w:val="24"/>
          <w:szCs w:val="24"/>
        </w:rPr>
        <w:t>, centraliza 13% das matrículas estaduais (72 mil).</w:t>
      </w:r>
    </w:p>
    <w:p w14:paraId="68AF02F1" w14:textId="77777777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A região se destaca como importante polo educacional de ensino superior, abrigando campi de diversas instituições, como a Universidade Federal da Integração Latino-Americana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Unila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), a Universidade Estadual do Oeste do Paraná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Unioeste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), a Universidade Federal do Paraná (UFPR), a Universidade Tecnológica Federal do Paraná (UTFPR) e o Instituto Federal do Paraná (IFPR), além de entidades privadas.</w:t>
      </w:r>
    </w:p>
    <w:p w14:paraId="1D10D954" w14:textId="77777777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No total, estão disponíveis 402 graduações presenciais, 138 graduações a distância, 43 programas de pós-graduação </w:t>
      </w:r>
      <w:r w:rsidRPr="00F34A19">
        <w:rPr>
          <w:rFonts w:ascii="Gotham Light" w:hAnsi="Gotham Light" w:cstheme="majorHAnsi"/>
          <w:i/>
          <w:iCs/>
          <w:sz w:val="24"/>
          <w:szCs w:val="24"/>
        </w:rPr>
        <w:t>stricto sensu</w:t>
      </w:r>
      <w:r w:rsidRPr="00F34A19">
        <w:rPr>
          <w:rFonts w:ascii="Gotham Light" w:hAnsi="Gotham Light" w:cstheme="majorHAnsi"/>
          <w:sz w:val="24"/>
          <w:szCs w:val="24"/>
        </w:rPr>
        <w:t>, dos quais 41 são cursos de mestrado e 12 de doutorado.</w:t>
      </w:r>
    </w:p>
    <w:p w14:paraId="2A6E3612" w14:textId="6EE24DDF" w:rsidR="00E66CE3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A espacialidade, em 2018, já se mostrava responsável pela formação de 4% e 9% dos mestres e doutores do estado, respectivamente</w:t>
      </w:r>
      <w:r w:rsidR="00CF6B6C">
        <w:rPr>
          <w:rStyle w:val="Refdenotaderodap"/>
          <w:rFonts w:ascii="Gotham Light" w:hAnsi="Gotham Light" w:cstheme="majorHAnsi"/>
          <w:sz w:val="24"/>
          <w:szCs w:val="24"/>
        </w:rPr>
        <w:footnoteReference w:id="6"/>
      </w:r>
      <w:r w:rsidRPr="00F34A19">
        <w:rPr>
          <w:rFonts w:ascii="Gotham Light" w:hAnsi="Gotham Light" w:cstheme="majorHAnsi"/>
          <w:sz w:val="24"/>
          <w:szCs w:val="24"/>
        </w:rPr>
        <w:t>.</w:t>
      </w:r>
    </w:p>
    <w:p w14:paraId="55DAFB1C" w14:textId="0E6FC12A" w:rsidR="007D104A" w:rsidRPr="00F34A19" w:rsidRDefault="00E66CE3" w:rsidP="00274997">
      <w:pPr>
        <w:pStyle w:val="PargrafodaLista"/>
        <w:numPr>
          <w:ilvl w:val="0"/>
          <w:numId w:val="5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Desse conjunto, em 2019, 707 mestres e doutores obtiveram seus títulos na área de tecnologia e inovação.</w:t>
      </w:r>
    </w:p>
    <w:p w14:paraId="29495B44" w14:textId="56AE0AF9" w:rsidR="007D104A" w:rsidRPr="00ED235F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ED235F">
        <w:rPr>
          <w:rFonts w:ascii="Gotham Light" w:hAnsi="Gotham Light" w:cstheme="majorHAnsi"/>
          <w:b/>
          <w:bCs/>
          <w:sz w:val="24"/>
          <w:szCs w:val="24"/>
        </w:rPr>
        <w:t>CT&amp;I</w:t>
      </w:r>
      <w:r w:rsidR="005C11B3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7"/>
      </w:r>
    </w:p>
    <w:p w14:paraId="7A4EA3C1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Desde 2014, está em curso o Programa Oeste em Desenvolvimento (POD), uma ação de governança territorial que busca promover o desenvolvimento econômico sustentável regional, por meio da sinergia de instituições e integração de iniciativas, projetos e ações. 55 municípios integram o programa, formado por mais de 60 organizações públicas e privadas, como empresas, cooperativas, órgãos de apoio e fomento, sindicatos e associações de classe, universidades, centros de pesquisa e tecnologia.</w:t>
      </w:r>
    </w:p>
    <w:p w14:paraId="35ED2557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Como uma das câmaras técnicas do POD, situa-se o Sistema Regional de Inovação Oeste do Paraná (SRI), uma rede de atores que interage para promover um ambiente favorável à inovação para o desenvolvimento regional.</w:t>
      </w:r>
    </w:p>
    <w:p w14:paraId="65BE48C1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Nesse âmbito, a espacialidade abriga o ecossistema de inovação 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Iguassu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 xml:space="preserve"> Valley, com representações em Foz do Iguaçu, Cascavel, Marechal Cândido Rondon, Medianeira, Palotina e Toledo.</w:t>
      </w:r>
    </w:p>
    <w:p w14:paraId="4FF9FF43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A região possui parques tecnológicos em Cascavel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Fundetec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), Toledo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Biopark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), Foz do Iguaçu (Parque Tecnológico de Itaipu) e Medianeira (Parque Científico e Tecnológico).</w:t>
      </w:r>
    </w:p>
    <w:p w14:paraId="44C27D70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lastRenderedPageBreak/>
        <w:t xml:space="preserve">O Oeste abriga o Centro de Estudos do Biogás, formado por meio de convênio entre o Governo do Paraná e a Itaipu Binacional, sendo gerido pelo Parque Tecnológico de Itaipu.   </w:t>
      </w:r>
    </w:p>
    <w:p w14:paraId="74531231" w14:textId="77777777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Conta com o subsídio de leis de inovação municipais. </w:t>
      </w:r>
    </w:p>
    <w:p w14:paraId="31EDE035" w14:textId="7D69F395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Em 2019, a região captou cerca de R$60 milhões de reais para inovação</w:t>
      </w:r>
      <w:r w:rsidR="00826D28" w:rsidRPr="00F34A19">
        <w:rPr>
          <w:rFonts w:ascii="Gotham Light" w:hAnsi="Gotham Light" w:cstheme="majorHAnsi"/>
          <w:sz w:val="24"/>
          <w:szCs w:val="24"/>
        </w:rPr>
        <w:t>.</w:t>
      </w:r>
    </w:p>
    <w:p w14:paraId="0DBF1538" w14:textId="64B2A73E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No mesmo ano, houve 43 pedidos de propriedade intelectual (programa de computador, patente e marca), sendo 27 concedidos.</w:t>
      </w:r>
    </w:p>
    <w:p w14:paraId="769DAF27" w14:textId="34C6E924" w:rsidR="00210922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 xml:space="preserve">Cascavel e Foz do Iguaçu destacam-se no cenário paranaense de </w:t>
      </w:r>
      <w:r w:rsidRPr="00F34A19">
        <w:rPr>
          <w:rFonts w:ascii="Gotham Light" w:hAnsi="Gotham Light" w:cstheme="majorHAnsi"/>
          <w:i/>
          <w:iCs/>
          <w:sz w:val="24"/>
          <w:szCs w:val="24"/>
        </w:rPr>
        <w:t>startups</w:t>
      </w:r>
      <w:r w:rsidRPr="00F34A19">
        <w:rPr>
          <w:rFonts w:ascii="Gotham Light" w:hAnsi="Gotham Light" w:cstheme="majorHAnsi"/>
          <w:sz w:val="24"/>
          <w:szCs w:val="24"/>
        </w:rPr>
        <w:t xml:space="preserve"> e, em 2020/2021, figuram entre as 10 cidades do </w:t>
      </w:r>
      <w:r w:rsidR="00417BD2">
        <w:rPr>
          <w:rFonts w:ascii="Gotham Light" w:hAnsi="Gotham Light" w:cstheme="majorHAnsi"/>
          <w:sz w:val="24"/>
          <w:szCs w:val="24"/>
        </w:rPr>
        <w:t>e</w:t>
      </w:r>
      <w:r w:rsidRPr="00F34A19">
        <w:rPr>
          <w:rFonts w:ascii="Gotham Light" w:hAnsi="Gotham Light" w:cstheme="majorHAnsi"/>
          <w:sz w:val="24"/>
          <w:szCs w:val="24"/>
        </w:rPr>
        <w:t>stado com a maior concentração desse tipo de empresa.</w:t>
      </w:r>
    </w:p>
    <w:p w14:paraId="711600FF" w14:textId="1A5552A6" w:rsidR="00BB7968" w:rsidRPr="00F34A19" w:rsidRDefault="00210922" w:rsidP="00274997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F34A19">
        <w:rPr>
          <w:rFonts w:ascii="Gotham Light" w:hAnsi="Gotham Light" w:cstheme="majorHAnsi"/>
          <w:sz w:val="24"/>
          <w:szCs w:val="24"/>
        </w:rPr>
        <w:t>A espacialidade sedia regularmente a Feira de Inovação das Ciências e Engenharias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FIciências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 e a Feira de Ciência e Tecnologia de Palotina (</w:t>
      </w:r>
      <w:proofErr w:type="spellStart"/>
      <w:r w:rsidRPr="00F34A19">
        <w:rPr>
          <w:rFonts w:ascii="Gotham Light" w:hAnsi="Gotham Light" w:cstheme="majorHAnsi"/>
          <w:sz w:val="24"/>
          <w:szCs w:val="24"/>
        </w:rPr>
        <w:t>Fecitec</w:t>
      </w:r>
      <w:proofErr w:type="spellEnd"/>
      <w:r w:rsidRPr="00F34A19">
        <w:rPr>
          <w:rFonts w:ascii="Gotham Light" w:hAnsi="Gotham Light" w:cstheme="majorHAnsi"/>
          <w:sz w:val="24"/>
          <w:szCs w:val="24"/>
        </w:rPr>
        <w:t>).</w:t>
      </w:r>
    </w:p>
    <w:p w14:paraId="6BAFDF02" w14:textId="0BD33517" w:rsidR="007D104A" w:rsidRPr="00ED235F" w:rsidRDefault="007D104A" w:rsidP="00274997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ED235F">
        <w:rPr>
          <w:rFonts w:ascii="Gotham Light" w:hAnsi="Gotham Light" w:cstheme="majorHAnsi"/>
          <w:b/>
          <w:bCs/>
          <w:sz w:val="24"/>
          <w:szCs w:val="24"/>
        </w:rPr>
        <w:t>Trabalho e rendimento</w:t>
      </w:r>
      <w:r w:rsidR="00D369F3"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8"/>
      </w:r>
    </w:p>
    <w:p w14:paraId="39F82CD2" w14:textId="66AEA345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A região registra, em média, 376 mil empregos formais, o que representa 12% do total estadual.</w:t>
      </w:r>
    </w:p>
    <w:p w14:paraId="00DC363B" w14:textId="77777777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Concentra, segundo o último censo, de 2010, 11,7% da população economicamente ativa paranaense.</w:t>
      </w:r>
    </w:p>
    <w:p w14:paraId="1B1922EB" w14:textId="6159EB1C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Cerca de 14% dos estabelecimentos turísticos do Paraná estão localizados na espacialidade.</w:t>
      </w:r>
    </w:p>
    <w:p w14:paraId="2E5D4EAA" w14:textId="519D823D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Apesar da recente crise, a região foi encarregada por 14% do total de vagas de trabalho criadas no Paraná em 2019. Os frigoríferos foram os maiores responsáveis por tal desempenho.</w:t>
      </w:r>
    </w:p>
    <w:p w14:paraId="4C9FA510" w14:textId="77777777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Com relação aos setores que mais empregam, destacam-se as áreas de administração pública em geral, abate de aves, frigorífico – abate de suínos e comércio varejista de mercadorias em geral, com predominância de produtos alimentícios.</w:t>
      </w:r>
    </w:p>
    <w:p w14:paraId="238C3C15" w14:textId="77777777" w:rsidR="004E413D" w:rsidRPr="00A473C0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 xml:space="preserve">A espacialidade apresenta protagonismo estadual na geração de empregos direcionados à produção de medicamentos alopáticos para uso humano, </w:t>
      </w:r>
      <w:r w:rsidRPr="00D578F0">
        <w:rPr>
          <w:rFonts w:ascii="Gotham Light" w:hAnsi="Gotham Light" w:cstheme="majorHAnsi"/>
          <w:sz w:val="24"/>
          <w:szCs w:val="24"/>
        </w:rPr>
        <w:t>carrocerias para ônibus</w:t>
      </w:r>
      <w:r w:rsidRPr="00A473C0">
        <w:rPr>
          <w:rFonts w:ascii="Gotham Light" w:hAnsi="Gotham Light" w:cstheme="majorHAnsi"/>
          <w:sz w:val="24"/>
          <w:szCs w:val="24"/>
        </w:rPr>
        <w:t>, ao transporte aquaviário destinado a passeios turísticos, bem como a atividades de jardins botânicos, zoológicos, parques nacionais, reservas ecológicas e áreas de proteção ambiental.</w:t>
      </w:r>
    </w:p>
    <w:p w14:paraId="36EF6F38" w14:textId="55E9A494" w:rsidR="003A5893" w:rsidRPr="00E744CA" w:rsidRDefault="004E413D" w:rsidP="00274997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lastRenderedPageBreak/>
        <w:t>Os dados de escolaridade da força de trabalho demostram que a região responde, no Paraná, por 9,3% dos postos com ensino superior completo, 9,4% com mestrado e 13% com doutorado.</w:t>
      </w:r>
    </w:p>
    <w:p w14:paraId="5C6C3ED7" w14:textId="00829A75" w:rsidR="00650FAD" w:rsidRDefault="00650FAD" w:rsidP="007F74F4">
      <w:pPr>
        <w:pStyle w:val="TTULO02"/>
      </w:pPr>
      <w:r w:rsidRPr="001E4BC6">
        <w:t>Fraquezas</w:t>
      </w:r>
    </w:p>
    <w:p w14:paraId="293872DA" w14:textId="61B83A2F" w:rsidR="00D369F3" w:rsidRPr="00CA116B" w:rsidRDefault="00D369F3" w:rsidP="00D369F3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>
        <w:rPr>
          <w:rFonts w:ascii="Gotham Light" w:hAnsi="Gotham Light" w:cstheme="majorHAnsi"/>
          <w:b/>
          <w:bCs/>
          <w:sz w:val="24"/>
          <w:szCs w:val="24"/>
        </w:rPr>
        <w:t xml:space="preserve">Território e </w:t>
      </w:r>
      <w:r w:rsidRPr="00CA116B">
        <w:rPr>
          <w:rFonts w:ascii="Gotham Light" w:hAnsi="Gotham Light" w:cstheme="majorHAnsi"/>
          <w:b/>
          <w:bCs/>
          <w:sz w:val="24"/>
          <w:szCs w:val="24"/>
        </w:rPr>
        <w:t>População</w:t>
      </w:r>
      <w:r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9"/>
      </w:r>
    </w:p>
    <w:p w14:paraId="6EC556CA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O Oeste paranaense é formado por 54 municípios que, em sua maioria, são de pequeno porte.</w:t>
      </w:r>
    </w:p>
    <w:p w14:paraId="239F81DD" w14:textId="0A6F9DBD" w:rsidR="00D05156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As projeções apontam que a região deve sofrer redução e envelhecimento populacionais.</w:t>
      </w:r>
    </w:p>
    <w:p w14:paraId="1CD18621" w14:textId="77777777" w:rsidR="00D369F3" w:rsidRPr="00D369F3" w:rsidRDefault="00D369F3" w:rsidP="00D369F3">
      <w:pPr>
        <w:spacing w:line="288" w:lineRule="auto"/>
        <w:jc w:val="both"/>
        <w:rPr>
          <w:rFonts w:ascii="Gotham Light" w:hAnsi="Gotham Light" w:cstheme="majorHAnsi"/>
          <w:b/>
          <w:bCs/>
          <w:sz w:val="24"/>
          <w:szCs w:val="24"/>
        </w:rPr>
      </w:pPr>
      <w:r w:rsidRPr="00D369F3">
        <w:rPr>
          <w:rFonts w:ascii="Gotham Light" w:hAnsi="Gotham Light" w:cstheme="majorHAnsi"/>
          <w:b/>
          <w:bCs/>
          <w:sz w:val="24"/>
          <w:szCs w:val="24"/>
        </w:rPr>
        <w:t>Trabalho e rendimento</w:t>
      </w:r>
      <w:r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10"/>
      </w:r>
    </w:p>
    <w:p w14:paraId="3945C624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Nos últimos anos, o mercado de trabalho regional vem se contraindo, com saldo negativo entre contratações e desligamentos. As mulheres foram as mais atingidas por esse fenômeno.</w:t>
      </w:r>
    </w:p>
    <w:p w14:paraId="44CF1829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Cerca de 80% dos trabalhadores formais da espacialidade ganham até três salários mínimos por mês.</w:t>
      </w:r>
    </w:p>
    <w:p w14:paraId="57DEC8DD" w14:textId="320BD3F3" w:rsidR="00D05156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A agricultura da espacialidade é intensiva na utilização de agrotóxicos. Nos últimos anos, os casos de intoxicação aumentaram.</w:t>
      </w:r>
    </w:p>
    <w:p w14:paraId="0ACED0F8" w14:textId="42322024" w:rsidR="007C54EF" w:rsidRPr="007C54EF" w:rsidRDefault="007C54EF" w:rsidP="007C54EF">
      <w:pPr>
        <w:spacing w:line="288" w:lineRule="auto"/>
        <w:jc w:val="both"/>
        <w:rPr>
          <w:rFonts w:ascii="Gotham Light" w:hAnsi="Gotham Light" w:cstheme="majorHAnsi"/>
          <w:sz w:val="24"/>
          <w:szCs w:val="24"/>
        </w:rPr>
      </w:pPr>
      <w:r>
        <w:rPr>
          <w:rFonts w:ascii="Gotham Light" w:hAnsi="Gotham Light" w:cstheme="majorHAnsi"/>
          <w:b/>
          <w:bCs/>
          <w:sz w:val="24"/>
          <w:szCs w:val="24"/>
        </w:rPr>
        <w:t>CT&amp;I</w:t>
      </w:r>
      <w:r>
        <w:rPr>
          <w:rStyle w:val="Refdenotaderodap"/>
          <w:rFonts w:ascii="Gotham Light" w:hAnsi="Gotham Light" w:cstheme="majorHAnsi"/>
          <w:b/>
          <w:bCs/>
          <w:sz w:val="24"/>
          <w:szCs w:val="24"/>
        </w:rPr>
        <w:footnoteReference w:id="11"/>
      </w:r>
    </w:p>
    <w:p w14:paraId="18CCBCAD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Empresas locais registram baixa utilização da Lei do Bem, de editais públicos, benefícios fiscais e de extensão tecnológica para o desenvolvimento de inovações. Nesse esforço, ainda prepondera o uso de recursos próprios.</w:t>
      </w:r>
    </w:p>
    <w:p w14:paraId="016EEC07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A realização de atividades de pesquisa e desenvolvimento não se mostra uma prioridade para empresas da região.</w:t>
      </w:r>
    </w:p>
    <w:p w14:paraId="17617E58" w14:textId="77777777" w:rsidR="00D05156" w:rsidRPr="00A473C0" w:rsidRDefault="00D05156" w:rsidP="001351EA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A473C0">
        <w:rPr>
          <w:rFonts w:ascii="Gotham Light" w:hAnsi="Gotham Light" w:cstheme="majorHAnsi"/>
          <w:sz w:val="24"/>
          <w:szCs w:val="24"/>
        </w:rPr>
        <w:t>O percentual de empresas com mestres e doutores atuando em atividades de pesquisa e desenvolvimento é considerado baixo.</w:t>
      </w:r>
    </w:p>
    <w:p w14:paraId="5131F96E" w14:textId="6A2C38B5" w:rsidR="00D05156" w:rsidRPr="00F42322" w:rsidRDefault="00D05156" w:rsidP="00C800CC">
      <w:pPr>
        <w:pStyle w:val="PargrafodaLista"/>
        <w:numPr>
          <w:ilvl w:val="0"/>
          <w:numId w:val="10"/>
        </w:numPr>
        <w:spacing w:line="288" w:lineRule="auto"/>
        <w:ind w:left="714" w:hanging="357"/>
        <w:jc w:val="both"/>
        <w:rPr>
          <w:rFonts w:ascii="Gotham Medium" w:hAnsi="Gotham Medium" w:cstheme="majorHAnsi"/>
          <w:color w:val="6360A7"/>
          <w:sz w:val="32"/>
          <w:szCs w:val="32"/>
        </w:rPr>
      </w:pPr>
      <w:r w:rsidRPr="00F42322">
        <w:rPr>
          <w:rFonts w:ascii="Gotham Light" w:hAnsi="Gotham Light" w:cstheme="majorHAnsi"/>
          <w:sz w:val="24"/>
          <w:szCs w:val="24"/>
        </w:rPr>
        <w:lastRenderedPageBreak/>
        <w:t>A despeito dos esforços de articulação intersetorial, especialistas locais consideram insuficiente o diálogo entre a aprendizagem na educação básica e a ciência produzida nas universidades, como também veem como aquém do desejado a interação entre essas últimas, governos, empresas e a população em geral. Impactam nesse distanciamento noções preconcebidas, não raro fruto de desconhecimento, a respeito da atuação de cada um desses entes.</w:t>
      </w:r>
      <w:r>
        <w:br w:type="page"/>
      </w:r>
    </w:p>
    <w:p w14:paraId="562BBB81" w14:textId="33B566B5" w:rsidR="00650FAD" w:rsidRPr="001E4BC6" w:rsidRDefault="00650FAD" w:rsidP="007F74F4">
      <w:pPr>
        <w:pStyle w:val="TTULO01"/>
      </w:pPr>
      <w:r w:rsidRPr="001E4BC6">
        <w:lastRenderedPageBreak/>
        <w:t xml:space="preserve">AMBIENTE EXTERNO </w:t>
      </w:r>
    </w:p>
    <w:p w14:paraId="79E71888" w14:textId="257BA90E" w:rsidR="00650FAD" w:rsidRPr="001E4BC6" w:rsidRDefault="00650FAD" w:rsidP="007F74F4">
      <w:pPr>
        <w:pStyle w:val="TTULO02"/>
      </w:pPr>
      <w:r w:rsidRPr="001E4BC6">
        <w:t>Oportunidades</w:t>
      </w:r>
    </w:p>
    <w:p w14:paraId="0907448D" w14:textId="0221C4FB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Lançamento do Pacto Ecológico Europeu </w:t>
      </w:r>
      <w:r w:rsidR="008528C9">
        <w:rPr>
          <w:rFonts w:ascii="Gotham Light" w:hAnsi="Gotham Light" w:cstheme="majorHAnsi"/>
          <w:sz w:val="24"/>
          <w:szCs w:val="24"/>
        </w:rPr>
        <w:t>(</w:t>
      </w:r>
      <w:r w:rsidRPr="00571ECD">
        <w:rPr>
          <w:rFonts w:ascii="Gotham Light" w:hAnsi="Gotham Light" w:cstheme="majorHAnsi"/>
          <w:sz w:val="24"/>
          <w:szCs w:val="24"/>
        </w:rPr>
        <w:t xml:space="preserve">ou Green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Deal</w:t>
      </w:r>
      <w:proofErr w:type="spellEnd"/>
      <w:r w:rsidR="00F85C34">
        <w:rPr>
          <w:rFonts w:ascii="Gotham Light" w:hAnsi="Gotham Light" w:cstheme="majorHAnsi"/>
          <w:sz w:val="24"/>
          <w:szCs w:val="24"/>
        </w:rPr>
        <w:t>)</w:t>
      </w:r>
      <w:r w:rsidRPr="00571ECD">
        <w:rPr>
          <w:rFonts w:ascii="Gotham Light" w:hAnsi="Gotham Light" w:cstheme="majorHAnsi"/>
          <w:sz w:val="24"/>
          <w:szCs w:val="24"/>
        </w:rPr>
        <w:t>, iniciativa da Comissão Europeia que estabeleceu uma nova agenda política para os países do bloco, combinando crescimento econômico e sustentabilidade no uso de recursos naturais.</w:t>
      </w:r>
    </w:p>
    <w:p w14:paraId="76DD9402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Aprofundamento das iniciativas de combate à desertificação e às alterações climáticas a níveis nacional e internacional.</w:t>
      </w:r>
    </w:p>
    <w:p w14:paraId="2D84192C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Incremento dos investimentos em energias renováveis, movimento que toma corpo, por exemplo, na difusão de veículos elétricos.</w:t>
      </w:r>
    </w:p>
    <w:p w14:paraId="3FC67DFB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Abertura crescente de mercados da Organização Mundial do Comércio (OMC) e da União Europeia.</w:t>
      </w:r>
    </w:p>
    <w:p w14:paraId="3CDBED96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Ambiente de negócios dinâmico e volátil.</w:t>
      </w:r>
    </w:p>
    <w:p w14:paraId="5C366071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Retorno do crescimento da indústria.</w:t>
      </w:r>
    </w:p>
    <w:p w14:paraId="2D1EBDCC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Alta disponibilidade de matérias-primas.</w:t>
      </w:r>
    </w:p>
    <w:p w14:paraId="0F64006C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Forte crescimento global do consumo de bens alimentares.</w:t>
      </w:r>
    </w:p>
    <w:p w14:paraId="0A70E363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Procura crescente por produtos naturais de época, regionais e nacionais.</w:t>
      </w:r>
    </w:p>
    <w:p w14:paraId="27D010A0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Busca crescente por produtos orgânicos, funcionais, associados a um estilo de vida saudável.</w:t>
      </w:r>
    </w:p>
    <w:p w14:paraId="741AA4C9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Demanda externa forte e sustentada por bens transformados de origem florestal.</w:t>
      </w:r>
    </w:p>
    <w:p w14:paraId="3D30AAFB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Aumento da procura turística e de lazer em zonas rurais.</w:t>
      </w:r>
    </w:p>
    <w:p w14:paraId="0F1C31AF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Crescimento da procura por produtos inovadores e sofisticados.</w:t>
      </w:r>
    </w:p>
    <w:p w14:paraId="47AAB986" w14:textId="4C8F8462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Abertura de novos canais de comercialização </w:t>
      </w:r>
      <w:r w:rsidR="00F137FD">
        <w:rPr>
          <w:rFonts w:ascii="Gotham Light" w:hAnsi="Gotham Light" w:cstheme="majorHAnsi"/>
          <w:sz w:val="24"/>
          <w:szCs w:val="24"/>
        </w:rPr>
        <w:t>devido à</w:t>
      </w:r>
      <w:r w:rsidRPr="00571ECD">
        <w:rPr>
          <w:rFonts w:ascii="Gotham Light" w:hAnsi="Gotham Light" w:cstheme="majorHAnsi"/>
          <w:sz w:val="24"/>
          <w:szCs w:val="24"/>
        </w:rPr>
        <w:t xml:space="preserve"> emergência sanitária determinada pela Covid-19.</w:t>
      </w:r>
    </w:p>
    <w:p w14:paraId="7B9C374C" w14:textId="77777777" w:rsidR="009F7A8F" w:rsidRPr="00571ECD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Otimização da comunicação por meio de recursos tecnológicos a partir do contexto pandêmico.</w:t>
      </w:r>
    </w:p>
    <w:p w14:paraId="1807CE23" w14:textId="77777777" w:rsidR="007C54EF" w:rsidRDefault="009F7A8F" w:rsidP="00BC7522">
      <w:pPr>
        <w:pStyle w:val="PargrafodaLista"/>
        <w:numPr>
          <w:ilvl w:val="0"/>
          <w:numId w:val="11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  <w:sectPr w:rsidR="007C54EF" w:rsidSect="007D61E6">
          <w:type w:val="continuous"/>
          <w:pgSz w:w="16838" w:h="11906" w:orient="landscape"/>
          <w:pgMar w:top="1701" w:right="1418" w:bottom="1701" w:left="1418" w:header="567" w:footer="680" w:gutter="0"/>
          <w:cols w:space="708"/>
          <w:docGrid w:linePitch="360"/>
        </w:sectPr>
      </w:pPr>
      <w:r w:rsidRPr="00571ECD">
        <w:rPr>
          <w:rFonts w:ascii="Gotham Light" w:hAnsi="Gotham Light" w:cstheme="majorHAnsi"/>
          <w:sz w:val="24"/>
          <w:szCs w:val="24"/>
        </w:rPr>
        <w:t>Crescimento de ações de divulgação científica diante das resistências ao conhecimento acadêmico observadas na crise colocada pelo novo coronavírus.</w:t>
      </w:r>
    </w:p>
    <w:p w14:paraId="5CFEDAC1" w14:textId="1EBAE6C6" w:rsidR="00650FAD" w:rsidRPr="002D4C23" w:rsidRDefault="00650FAD" w:rsidP="007F74F4">
      <w:pPr>
        <w:pStyle w:val="TTULO02"/>
      </w:pPr>
      <w:r w:rsidRPr="002D4C23">
        <w:lastRenderedPageBreak/>
        <w:t>Ameaças</w:t>
      </w:r>
    </w:p>
    <w:p w14:paraId="3010FE1E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Instabilidades macroeconômicas e políticas, com impactos singulares em regiões de fronteira.</w:t>
      </w:r>
    </w:p>
    <w:p w14:paraId="16F1936D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Crises político-econômicas no Paraguai e na Argentina, com potenciais repercussões na região da tríplice fronteira.</w:t>
      </w:r>
    </w:p>
    <w:p w14:paraId="4CB17DDC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Volatilidade dos preços de matérias-primas e bens intermediários agrícolas no mercado internacional.</w:t>
      </w:r>
    </w:p>
    <w:p w14:paraId="503642C7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Redução da demanda interna em consequência da recessão econômica e de elevadas taxas de desemprego.</w:t>
      </w:r>
    </w:p>
    <w:p w14:paraId="4CACAEAC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Enquadramento macroeconômico desfavorável ao financiamento dos investimentos públicos e privados.</w:t>
      </w:r>
    </w:p>
    <w:p w14:paraId="17B5E948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Baixas diversificação e complexidade da economia.</w:t>
      </w:r>
    </w:p>
    <w:p w14:paraId="38C33F1B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Aumento da intensidade de fenômenos climáticos adversos.</w:t>
      </w:r>
    </w:p>
    <w:p w14:paraId="3558C161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Riscos de incêndio, crises hídricas e de disseminação de agentes bióticos nocivos potenciados pelas alterações climáticas.</w:t>
      </w:r>
    </w:p>
    <w:p w14:paraId="28FF8686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Aumento do processo de envelhecimento da população.</w:t>
      </w:r>
    </w:p>
    <w:p w14:paraId="0D6F36E8" w14:textId="77777777" w:rsidR="009F7A8F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b/>
          <w:bCs/>
          <w:sz w:val="26"/>
          <w:szCs w:val="26"/>
        </w:rPr>
      </w:pPr>
      <w:r w:rsidRPr="00571ECD">
        <w:rPr>
          <w:rFonts w:ascii="Gotham Light" w:hAnsi="Gotham Light" w:cstheme="majorHAnsi"/>
          <w:sz w:val="24"/>
          <w:szCs w:val="24"/>
        </w:rPr>
        <w:t>Risco de aprofundamento da assimetria populacional entre litoral e interior.</w:t>
      </w:r>
    </w:p>
    <w:p w14:paraId="228C4FB5" w14:textId="7E9A2497" w:rsidR="00A7665A" w:rsidRPr="00571ECD" w:rsidRDefault="009F7A8F" w:rsidP="00BC7522">
      <w:pPr>
        <w:pStyle w:val="PargrafodaLista"/>
        <w:numPr>
          <w:ilvl w:val="0"/>
          <w:numId w:val="14"/>
        </w:numPr>
        <w:spacing w:line="288" w:lineRule="auto"/>
        <w:ind w:left="714" w:hanging="357"/>
        <w:jc w:val="both"/>
        <w:rPr>
          <w:rFonts w:ascii="Gotham Light" w:hAnsi="Gotham Light" w:cstheme="majorHAnsi"/>
          <w:b/>
          <w:bCs/>
          <w:sz w:val="26"/>
          <w:szCs w:val="26"/>
        </w:rPr>
      </w:pPr>
      <w:r w:rsidRPr="00571ECD">
        <w:rPr>
          <w:rFonts w:ascii="Gotham Light" w:hAnsi="Gotham Light" w:cstheme="majorHAnsi"/>
          <w:sz w:val="24"/>
          <w:szCs w:val="24"/>
        </w:rPr>
        <w:t>Efervescência de conflitos de natureza socioambiental.</w:t>
      </w:r>
    </w:p>
    <w:p w14:paraId="0EA91A11" w14:textId="77777777" w:rsidR="00A7665A" w:rsidRDefault="00A7665A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1273B765" w14:textId="58961371" w:rsidR="00650FAD" w:rsidRPr="00E744CA" w:rsidRDefault="00650FAD" w:rsidP="007F74F4">
      <w:pPr>
        <w:pStyle w:val="TTULO01"/>
        <w:rPr>
          <w:sz w:val="24"/>
          <w:szCs w:val="24"/>
        </w:rPr>
      </w:pPr>
      <w:r w:rsidRPr="00E744CA">
        <w:lastRenderedPageBreak/>
        <w:t xml:space="preserve">REFERÊNCIAS </w:t>
      </w:r>
    </w:p>
    <w:p w14:paraId="5D672020" w14:textId="7982902B" w:rsidR="008E79E4" w:rsidRPr="00571ECD" w:rsidRDefault="00F42322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bookmarkStart w:id="0" w:name="_Hlk94093782"/>
      <w:r>
        <w:rPr>
          <w:rFonts w:ascii="Gotham Light" w:hAnsi="Gotham Light" w:cstheme="majorHAnsi"/>
          <w:sz w:val="24"/>
          <w:szCs w:val="24"/>
        </w:rPr>
        <w:t xml:space="preserve">AEN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AGÊNCIA DE NOTÍCIAS DO PARANÁ. Região Oeste se destaca na geração de empregos no Paraná. </w:t>
      </w:r>
      <w:r w:rsidR="008E79E4" w:rsidRPr="00BC023C">
        <w:rPr>
          <w:rFonts w:ascii="Gotham Light" w:hAnsi="Gotham Light" w:cstheme="majorHAnsi"/>
          <w:b/>
          <w:bCs/>
          <w:sz w:val="24"/>
          <w:szCs w:val="24"/>
        </w:rPr>
        <w:t>Agência de Notícias do Paraná</w:t>
      </w:r>
      <w:r w:rsidR="008E79E4" w:rsidRPr="00571ECD">
        <w:rPr>
          <w:rFonts w:ascii="Gotham Light" w:hAnsi="Gotham Light" w:cstheme="majorHAnsi"/>
          <w:sz w:val="24"/>
          <w:szCs w:val="24"/>
        </w:rPr>
        <w:t>, 2 dez. 2019. Disponível em: www.aen.pr.gov.br/modules/noticias/</w:t>
      </w:r>
      <w:proofErr w:type="spellStart"/>
      <w:r w:rsidR="008E79E4" w:rsidRPr="00571ECD">
        <w:rPr>
          <w:rFonts w:ascii="Gotham Light" w:hAnsi="Gotham Light" w:cstheme="majorHAnsi"/>
          <w:sz w:val="24"/>
          <w:szCs w:val="24"/>
        </w:rPr>
        <w:t>article.php?storyid</w:t>
      </w:r>
      <w:proofErr w:type="spellEnd"/>
      <w:r w:rsidR="008E79E4" w:rsidRPr="00571ECD">
        <w:rPr>
          <w:rFonts w:ascii="Gotham Light" w:hAnsi="Gotham Light" w:cstheme="majorHAnsi"/>
          <w:sz w:val="24"/>
          <w:szCs w:val="24"/>
        </w:rPr>
        <w:t>=104878. Acesso em: 3 ago. 2021.</w:t>
      </w:r>
    </w:p>
    <w:p w14:paraId="6072901B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58485CD7" w14:textId="438F02FE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FUNDAÇÃO ARAUCÁRIA; SISTEMA FIEP; GOVERNO DO PARANÁ. </w:t>
      </w:r>
      <w:r w:rsidRPr="000D36D1">
        <w:rPr>
          <w:rFonts w:ascii="Gotham Light" w:hAnsi="Gotham Light" w:cstheme="majorHAnsi"/>
          <w:b/>
          <w:bCs/>
          <w:sz w:val="24"/>
          <w:szCs w:val="24"/>
        </w:rPr>
        <w:t>Portal de dados Paraná 2040</w:t>
      </w:r>
      <w:r w:rsidRPr="00571ECD">
        <w:rPr>
          <w:rFonts w:ascii="Gotham Light" w:hAnsi="Gotham Light" w:cstheme="majorHAnsi"/>
          <w:sz w:val="24"/>
          <w:szCs w:val="24"/>
        </w:rPr>
        <w:t xml:space="preserve">: Rotas Estratégicas de Ciência, Tecnologia e Inovação (CT&amp;I). Disponível em: https://observatorios.fiepr.org.br/salaprospectiva/web. Acesso em: 06 ago. 2021. </w:t>
      </w:r>
    </w:p>
    <w:p w14:paraId="32335FD6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6B1E8F8D" w14:textId="260F40BD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HARVARD BUSINESS SCHOOL. SWOT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Analysis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I/II. </w:t>
      </w:r>
      <w:r w:rsidRPr="00571ECD">
        <w:rPr>
          <w:rFonts w:ascii="Gotham Light" w:hAnsi="Gotham Light" w:cstheme="majorHAnsi"/>
          <w:i/>
          <w:iCs/>
          <w:sz w:val="24"/>
          <w:szCs w:val="24"/>
        </w:rPr>
        <w:t>In</w:t>
      </w:r>
      <w:r w:rsidRPr="00571ECD">
        <w:rPr>
          <w:rFonts w:ascii="Gotham Light" w:hAnsi="Gotham Light" w:cstheme="majorHAnsi"/>
          <w:sz w:val="24"/>
          <w:szCs w:val="24"/>
        </w:rPr>
        <w:t xml:space="preserve">: </w:t>
      </w:r>
      <w:proofErr w:type="spellStart"/>
      <w:r w:rsidRPr="000D36D1">
        <w:rPr>
          <w:rFonts w:ascii="Gotham Light" w:hAnsi="Gotham Light" w:cstheme="majorHAnsi"/>
          <w:b/>
          <w:bCs/>
          <w:sz w:val="24"/>
          <w:szCs w:val="24"/>
        </w:rPr>
        <w:t>Strategy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: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create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and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implement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the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best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strategy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for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your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business. Boston: Havard Business </w:t>
      </w:r>
      <w:proofErr w:type="spellStart"/>
      <w:r w:rsidRPr="00571ECD">
        <w:rPr>
          <w:rFonts w:ascii="Gotham Light" w:hAnsi="Gotham Light" w:cstheme="majorHAnsi"/>
          <w:sz w:val="24"/>
          <w:szCs w:val="24"/>
        </w:rPr>
        <w:t>School</w:t>
      </w:r>
      <w:proofErr w:type="spellEnd"/>
      <w:r w:rsidRPr="00571ECD">
        <w:rPr>
          <w:rFonts w:ascii="Gotham Light" w:hAnsi="Gotham Light" w:cstheme="majorHAnsi"/>
          <w:sz w:val="24"/>
          <w:szCs w:val="24"/>
        </w:rPr>
        <w:t xml:space="preserve"> Press, 2005. </w:t>
      </w:r>
    </w:p>
    <w:p w14:paraId="5E5355DA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0E760033" w14:textId="4DF12928" w:rsidR="008E79E4" w:rsidRPr="00571ECD" w:rsidRDefault="00F25A13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>
        <w:rPr>
          <w:rFonts w:ascii="Gotham Light" w:hAnsi="Gotham Light" w:cstheme="majorHAnsi"/>
          <w:sz w:val="24"/>
          <w:szCs w:val="24"/>
        </w:rPr>
        <w:t xml:space="preserve">IPARDES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INSTITUTO PARANAENSE DE DESENVOLVIMENTO ECONÔMICO E SOCIAL. </w:t>
      </w:r>
      <w:r w:rsidR="008E79E4" w:rsidRPr="000D36D1">
        <w:rPr>
          <w:rFonts w:ascii="Gotham Light" w:hAnsi="Gotham Light" w:cstheme="majorHAnsi"/>
          <w:b/>
          <w:bCs/>
          <w:sz w:val="24"/>
          <w:szCs w:val="24"/>
        </w:rPr>
        <w:t>Leituras regionais</w:t>
      </w:r>
      <w:r w:rsidR="008E79E4" w:rsidRPr="00571ECD">
        <w:rPr>
          <w:rFonts w:ascii="Gotham Light" w:hAnsi="Gotham Light" w:cstheme="majorHAnsi"/>
          <w:sz w:val="24"/>
          <w:szCs w:val="24"/>
        </w:rPr>
        <w:t>: mesorregião geográfica Oeste Paranaense. Curitiba: IPARDES BRDE, 2003.</w:t>
      </w:r>
    </w:p>
    <w:p w14:paraId="3CC935D7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5FF24E43" w14:textId="0F854F80" w:rsidR="008E79E4" w:rsidRPr="00571ECD" w:rsidRDefault="00F25A13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>
        <w:rPr>
          <w:rFonts w:ascii="Gotham Light" w:hAnsi="Gotham Light" w:cstheme="majorHAnsi"/>
          <w:sz w:val="24"/>
          <w:szCs w:val="24"/>
        </w:rPr>
        <w:t xml:space="preserve">IPARDES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INSTITUTO PARANAENSE DE DESENVOLVIMENTO ECONÔMICO E SOCIAL. </w:t>
      </w:r>
      <w:r w:rsidR="008E79E4" w:rsidRPr="000D36D1">
        <w:rPr>
          <w:rFonts w:ascii="Gotham Light" w:hAnsi="Gotham Light" w:cstheme="majorHAnsi"/>
          <w:b/>
          <w:bCs/>
          <w:sz w:val="24"/>
          <w:szCs w:val="24"/>
        </w:rPr>
        <w:t>Perfil avançado de regiões</w:t>
      </w:r>
      <w:r w:rsidR="008E79E4" w:rsidRPr="00571ECD">
        <w:rPr>
          <w:rFonts w:ascii="Gotham Light" w:hAnsi="Gotham Light" w:cstheme="majorHAnsi"/>
          <w:sz w:val="24"/>
          <w:szCs w:val="24"/>
        </w:rPr>
        <w:t>. Disponível em: www.ipardes.pr.gov.br/Pagina/Perfil-das-</w:t>
      </w:r>
      <w:proofErr w:type="spellStart"/>
      <w:r w:rsidR="008E79E4" w:rsidRPr="00571ECD">
        <w:rPr>
          <w:rFonts w:ascii="Gotham Light" w:hAnsi="Gotham Light" w:cstheme="majorHAnsi"/>
          <w:sz w:val="24"/>
          <w:szCs w:val="24"/>
        </w:rPr>
        <w:t>Regioes</w:t>
      </w:r>
      <w:proofErr w:type="spellEnd"/>
      <w:r w:rsidR="008E79E4" w:rsidRPr="00571ECD">
        <w:rPr>
          <w:rFonts w:ascii="Gotham Light" w:hAnsi="Gotham Light" w:cstheme="majorHAnsi"/>
          <w:sz w:val="24"/>
          <w:szCs w:val="24"/>
        </w:rPr>
        <w:t>. Acesso em: 3 ago. 2021.</w:t>
      </w:r>
    </w:p>
    <w:p w14:paraId="78CDC6A4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6DB140D8" w14:textId="0E233C52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OBSERVATÓRIO SISTEMA FIEP. </w:t>
      </w:r>
      <w:r w:rsidRPr="000D36D1">
        <w:rPr>
          <w:rFonts w:ascii="Gotham Light" w:hAnsi="Gotham Light" w:cstheme="majorHAnsi"/>
          <w:b/>
          <w:bCs/>
          <w:sz w:val="24"/>
          <w:szCs w:val="24"/>
        </w:rPr>
        <w:t>Bússolas da indústria</w:t>
      </w:r>
      <w:r w:rsidRPr="00571ECD">
        <w:rPr>
          <w:rFonts w:ascii="Gotham Light" w:hAnsi="Gotham Light" w:cstheme="majorHAnsi"/>
          <w:sz w:val="24"/>
          <w:szCs w:val="24"/>
        </w:rPr>
        <w:t>. Disponível em: www.bussolasdaindustria.org.br. Acesso em: 3 ago. 2021.</w:t>
      </w:r>
    </w:p>
    <w:p w14:paraId="071A4D2C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44119CDF" w14:textId="094A6BE8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OESTE EM DESENVOLVIMENTO. </w:t>
      </w:r>
      <w:r w:rsidRPr="00FB68E3">
        <w:rPr>
          <w:rFonts w:ascii="Gotham Light" w:hAnsi="Gotham Light" w:cstheme="majorHAnsi"/>
          <w:b/>
          <w:bCs/>
          <w:sz w:val="24"/>
          <w:szCs w:val="24"/>
        </w:rPr>
        <w:t>Oeste do Paraná em números</w:t>
      </w:r>
      <w:r w:rsidRPr="00571ECD">
        <w:rPr>
          <w:rFonts w:ascii="Gotham Light" w:hAnsi="Gotham Light" w:cstheme="majorHAnsi"/>
          <w:sz w:val="24"/>
          <w:szCs w:val="24"/>
        </w:rPr>
        <w:t>. 2018. Disponível em: http://oestedesenvolvimento.com.br. Acesso em: 3 ago. 2021.</w:t>
      </w:r>
    </w:p>
    <w:p w14:paraId="3D18F331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72BC0155" w14:textId="170F32B4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 xml:space="preserve">OESTE EM DESENVOLVIMENTO. </w:t>
      </w:r>
      <w:r w:rsidRPr="00FB68E3">
        <w:rPr>
          <w:rFonts w:ascii="Gotham Light" w:hAnsi="Gotham Light" w:cstheme="majorHAnsi"/>
          <w:b/>
          <w:bCs/>
          <w:sz w:val="24"/>
          <w:szCs w:val="24"/>
        </w:rPr>
        <w:t>Câmara Técnica de Energias</w:t>
      </w:r>
      <w:r w:rsidRPr="00571ECD">
        <w:rPr>
          <w:rFonts w:ascii="Gotham Light" w:hAnsi="Gotham Light" w:cstheme="majorHAnsi"/>
          <w:sz w:val="24"/>
          <w:szCs w:val="24"/>
        </w:rPr>
        <w:t>. Relatórios de encontros. Cascavel, 2016. Disponível em: http://oestedesenvolvimento.com.br. Acesso em: 3 ago. 2021.</w:t>
      </w:r>
    </w:p>
    <w:p w14:paraId="318C106B" w14:textId="01366370" w:rsidR="008E79E4" w:rsidRPr="00571ECD" w:rsidRDefault="008E79E4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lastRenderedPageBreak/>
        <w:t xml:space="preserve">OLIVEIRA, D. R. M. </w:t>
      </w:r>
      <w:r w:rsidRPr="00571ECD">
        <w:rPr>
          <w:rFonts w:ascii="Gotham Light" w:hAnsi="Gotham Light" w:cstheme="majorHAnsi"/>
          <w:i/>
          <w:iCs/>
          <w:sz w:val="24"/>
          <w:szCs w:val="24"/>
        </w:rPr>
        <w:t>et al</w:t>
      </w:r>
      <w:r w:rsidRPr="00571ECD">
        <w:rPr>
          <w:rFonts w:ascii="Gotham Light" w:hAnsi="Gotham Light" w:cstheme="majorHAnsi"/>
          <w:sz w:val="24"/>
          <w:szCs w:val="24"/>
        </w:rPr>
        <w:t xml:space="preserve">. Aproveitamento de biomassa em biodigestores na criação de suínos da região oeste do Paraná: impactos ambientais. </w:t>
      </w:r>
      <w:r w:rsidRPr="00571ECD">
        <w:rPr>
          <w:rFonts w:ascii="Gotham Light" w:hAnsi="Gotham Light" w:cstheme="majorHAnsi"/>
          <w:i/>
          <w:iCs/>
          <w:sz w:val="24"/>
          <w:szCs w:val="24"/>
        </w:rPr>
        <w:t>In</w:t>
      </w:r>
      <w:r w:rsidRPr="00571ECD">
        <w:rPr>
          <w:rFonts w:ascii="Gotham Light" w:hAnsi="Gotham Light" w:cstheme="majorHAnsi"/>
          <w:sz w:val="24"/>
          <w:szCs w:val="24"/>
        </w:rPr>
        <w:t xml:space="preserve">: TEÓFILO, T. S. </w:t>
      </w:r>
      <w:r w:rsidRPr="00571ECD">
        <w:rPr>
          <w:rFonts w:ascii="Gotham Light" w:hAnsi="Gotham Light" w:cstheme="majorHAnsi"/>
          <w:i/>
          <w:iCs/>
          <w:sz w:val="24"/>
          <w:szCs w:val="24"/>
        </w:rPr>
        <w:t>et al</w:t>
      </w:r>
      <w:r w:rsidRPr="00571ECD">
        <w:rPr>
          <w:rFonts w:ascii="Gotham Light" w:hAnsi="Gotham Light" w:cstheme="majorHAnsi"/>
          <w:sz w:val="24"/>
          <w:szCs w:val="24"/>
        </w:rPr>
        <w:t xml:space="preserve"> (Org.). </w:t>
      </w:r>
      <w:r w:rsidRPr="00FB68E3">
        <w:rPr>
          <w:rFonts w:ascii="Gotham Light" w:hAnsi="Gotham Light" w:cstheme="majorHAnsi"/>
          <w:b/>
          <w:bCs/>
          <w:sz w:val="24"/>
          <w:szCs w:val="24"/>
        </w:rPr>
        <w:t>Meio ambiente</w:t>
      </w:r>
      <w:r w:rsidRPr="00571ECD">
        <w:rPr>
          <w:rFonts w:ascii="Gotham Light" w:hAnsi="Gotham Light" w:cstheme="majorHAnsi"/>
          <w:sz w:val="24"/>
          <w:szCs w:val="24"/>
        </w:rPr>
        <w:t>: impacto do convívio entre vegetação, animais e homens. Ponta Grossa: Atena, 2020. p. 134-146.</w:t>
      </w:r>
    </w:p>
    <w:p w14:paraId="644D18EC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655E9A22" w14:textId="5A5DB643" w:rsidR="008E79E4" w:rsidRPr="00571ECD" w:rsidRDefault="00956AE6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>
        <w:rPr>
          <w:rFonts w:ascii="Gotham Light" w:hAnsi="Gotham Light" w:cstheme="majorHAnsi"/>
          <w:sz w:val="24"/>
          <w:szCs w:val="24"/>
        </w:rPr>
        <w:t xml:space="preserve">PNUD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PROGRAMA DAS NAÇÕES UNIDAS PARA O DESENVOLVIMENTO. </w:t>
      </w:r>
      <w:r w:rsidR="008E79E4" w:rsidRPr="00295701">
        <w:rPr>
          <w:rFonts w:ascii="Gotham Light" w:hAnsi="Gotham Light" w:cstheme="majorHAnsi"/>
          <w:b/>
          <w:bCs/>
          <w:sz w:val="24"/>
          <w:szCs w:val="24"/>
        </w:rPr>
        <w:t>Panorama ODS</w:t>
      </w:r>
      <w:r w:rsidR="008E79E4" w:rsidRPr="00571ECD">
        <w:rPr>
          <w:rFonts w:ascii="Gotham Light" w:hAnsi="Gotham Light" w:cstheme="majorHAnsi"/>
          <w:sz w:val="24"/>
          <w:szCs w:val="24"/>
        </w:rPr>
        <w:t>: Oeste do Paraná em números. Brasília: PNUD, 2018.</w:t>
      </w:r>
    </w:p>
    <w:p w14:paraId="37080C77" w14:textId="77777777" w:rsidR="00D22A90" w:rsidRDefault="00D22A90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</w:p>
    <w:p w14:paraId="794BEC34" w14:textId="001E6270" w:rsidR="008E79E4" w:rsidRPr="00571ECD" w:rsidRDefault="00F25A13" w:rsidP="00AF1532">
      <w:pPr>
        <w:spacing w:after="0" w:line="288" w:lineRule="auto"/>
        <w:jc w:val="both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SEBRAE</w:t>
      </w:r>
      <w:r>
        <w:rPr>
          <w:rFonts w:ascii="Gotham Light" w:hAnsi="Gotham Light" w:cstheme="majorHAnsi"/>
          <w:sz w:val="24"/>
          <w:szCs w:val="24"/>
        </w:rPr>
        <w:t xml:space="preserve">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SERVIÇO BRASILEIRO DE APOIO ÀS MICRO E PEQUENAS EMPRESAS. </w:t>
      </w:r>
      <w:r w:rsidR="008E79E4" w:rsidRPr="00295701">
        <w:rPr>
          <w:rFonts w:ascii="Gotham Light" w:hAnsi="Gotham Light" w:cstheme="majorHAnsi"/>
          <w:b/>
          <w:bCs/>
          <w:sz w:val="24"/>
          <w:szCs w:val="24"/>
        </w:rPr>
        <w:t>Startups paranaenses 2020/2021</w:t>
      </w:r>
      <w:r w:rsidR="008E79E4" w:rsidRPr="00571ECD">
        <w:rPr>
          <w:rFonts w:ascii="Gotham Light" w:hAnsi="Gotham Light" w:cstheme="majorHAnsi"/>
          <w:sz w:val="24"/>
          <w:szCs w:val="24"/>
        </w:rPr>
        <w:t>. Disponível em: www.sebraepr.com.br. Acesso em: 3 ago. 2021.</w:t>
      </w:r>
    </w:p>
    <w:p w14:paraId="1968B0BC" w14:textId="77777777" w:rsidR="00D22A90" w:rsidRDefault="00D22A90" w:rsidP="00AF1532">
      <w:pPr>
        <w:spacing w:after="0" w:line="288" w:lineRule="auto"/>
        <w:rPr>
          <w:rFonts w:ascii="Gotham Light" w:hAnsi="Gotham Light" w:cstheme="majorHAnsi"/>
          <w:sz w:val="24"/>
          <w:szCs w:val="24"/>
        </w:rPr>
      </w:pPr>
    </w:p>
    <w:p w14:paraId="5DEAE5F9" w14:textId="14E75CDB" w:rsidR="00B55743" w:rsidRPr="00571ECD" w:rsidRDefault="00F42322" w:rsidP="00AF1532">
      <w:pPr>
        <w:spacing w:after="0" w:line="288" w:lineRule="auto"/>
        <w:rPr>
          <w:rFonts w:ascii="Gotham Light" w:hAnsi="Gotham Light" w:cstheme="majorHAnsi"/>
          <w:sz w:val="24"/>
          <w:szCs w:val="24"/>
        </w:rPr>
      </w:pPr>
      <w:r w:rsidRPr="00571ECD">
        <w:rPr>
          <w:rFonts w:ascii="Gotham Light" w:hAnsi="Gotham Light" w:cstheme="majorHAnsi"/>
          <w:sz w:val="24"/>
          <w:szCs w:val="24"/>
        </w:rPr>
        <w:t>SRI OESTE</w:t>
      </w:r>
      <w:r>
        <w:rPr>
          <w:rFonts w:ascii="Gotham Light" w:hAnsi="Gotham Light" w:cstheme="majorHAnsi"/>
          <w:sz w:val="24"/>
          <w:szCs w:val="24"/>
        </w:rPr>
        <w:t xml:space="preserve"> – </w:t>
      </w:r>
      <w:r w:rsidR="008E79E4" w:rsidRPr="00571ECD">
        <w:rPr>
          <w:rFonts w:ascii="Gotham Light" w:hAnsi="Gotham Light" w:cstheme="majorHAnsi"/>
          <w:sz w:val="24"/>
          <w:szCs w:val="24"/>
        </w:rPr>
        <w:t xml:space="preserve">SISTEMA REGIONAL DE INOVAÇÃO DO OESTE DO PARANÁ. </w:t>
      </w:r>
      <w:r w:rsidR="008E79E4" w:rsidRPr="00295701">
        <w:rPr>
          <w:rFonts w:ascii="Gotham Light" w:hAnsi="Gotham Light" w:cstheme="majorHAnsi"/>
          <w:b/>
          <w:bCs/>
          <w:sz w:val="24"/>
          <w:szCs w:val="24"/>
        </w:rPr>
        <w:t>Caderno de indicadores de inovação do Oeste do Paraná</w:t>
      </w:r>
      <w:r w:rsidR="008E79E4" w:rsidRPr="00571ECD">
        <w:rPr>
          <w:rFonts w:ascii="Gotham Light" w:hAnsi="Gotham Light" w:cstheme="majorHAnsi"/>
          <w:sz w:val="24"/>
          <w:szCs w:val="24"/>
        </w:rPr>
        <w:t>. 2019. Disponível em: https://plataformasri.pti.org.br. Acesso em: 3 ago. 2021.</w:t>
      </w:r>
    </w:p>
    <w:bookmarkEnd w:id="0"/>
    <w:p w14:paraId="70592C62" w14:textId="2A7E6D9A" w:rsidR="008E79E4" w:rsidRDefault="008E79E4">
      <w:pPr>
        <w:rPr>
          <w:rFonts w:ascii="Gotham Medium" w:hAnsi="Gotham Medium" w:cstheme="majorHAnsi"/>
          <w:color w:val="6360A7"/>
          <w:sz w:val="32"/>
          <w:szCs w:val="32"/>
        </w:rPr>
      </w:pPr>
    </w:p>
    <w:p w14:paraId="531CDEF3" w14:textId="77777777" w:rsidR="00D22A90" w:rsidRDefault="00D22A90">
      <w:pPr>
        <w:rPr>
          <w:rFonts w:ascii="Gotham Medium" w:hAnsi="Gotham Medium" w:cstheme="majorHAnsi"/>
          <w:color w:val="6360A7"/>
          <w:sz w:val="32"/>
          <w:szCs w:val="32"/>
        </w:rPr>
      </w:pPr>
      <w:r>
        <w:br w:type="page"/>
      </w:r>
    </w:p>
    <w:p w14:paraId="2C79A269" w14:textId="4F3F86A2" w:rsidR="009245C8" w:rsidRDefault="009245C8" w:rsidP="00524369">
      <w:pPr>
        <w:pStyle w:val="TTULO01"/>
      </w:pPr>
      <w:r w:rsidRPr="00986EA1">
        <w:lastRenderedPageBreak/>
        <w:t>PARTICIPANTES DO PAINEL DE ESPECIALISTAS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89"/>
      </w:tblGrid>
      <w:tr w:rsidR="00B801B6" w14:paraId="262318AD" w14:textId="77777777" w:rsidTr="00B37C58">
        <w:trPr>
          <w:trHeight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04FBB" w14:textId="77777777" w:rsidR="00B801B6" w:rsidRDefault="00B801B6" w:rsidP="00B37C58">
            <w:pPr>
              <w:spacing w:after="0"/>
              <w:jc w:val="center"/>
              <w:rPr>
                <w:rFonts w:ascii="Gotham Narrow Bold" w:hAnsi="Gotham Narrow Bold" w:cstheme="majorHAnsi"/>
                <w:sz w:val="24"/>
                <w:szCs w:val="24"/>
              </w:rPr>
            </w:pPr>
            <w:r>
              <w:rPr>
                <w:rFonts w:ascii="Gotham Narrow Bold" w:hAnsi="Gotham Narrow Bold" w:cstheme="majorHAnsi"/>
                <w:sz w:val="24"/>
                <w:szCs w:val="24"/>
              </w:rPr>
              <w:t>Nome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F88E1" w14:textId="77777777" w:rsidR="00B801B6" w:rsidRDefault="00B801B6" w:rsidP="00B37C58">
            <w:pPr>
              <w:spacing w:after="0"/>
              <w:jc w:val="center"/>
              <w:rPr>
                <w:rFonts w:ascii="Gotham Narrow Bold" w:hAnsi="Gotham Narrow Bold" w:cstheme="majorHAnsi"/>
                <w:sz w:val="24"/>
                <w:szCs w:val="24"/>
              </w:rPr>
            </w:pPr>
            <w:r>
              <w:rPr>
                <w:rFonts w:ascii="Gotham Narrow Bold" w:hAnsi="Gotham Narrow Bold" w:cstheme="majorHAnsi"/>
                <w:sz w:val="24"/>
                <w:szCs w:val="24"/>
              </w:rPr>
              <w:t>Instituição</w:t>
            </w:r>
          </w:p>
        </w:tc>
      </w:tr>
      <w:tr w:rsidR="00B801B6" w14:paraId="6589BFA3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65EC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Adriana Brandt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1E6EB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Novos Arranjos de Pesquisa e Inovação (NAPI) – Desenvolvimento Sustentável da Região Trinacional 2020-2040</w:t>
            </w:r>
          </w:p>
        </w:tc>
      </w:tr>
      <w:tr w:rsidR="00B801B6" w14:paraId="5ED391D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9BEB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Alan Alex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Debus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67091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Serviço Brasileiro de Apoio às Micro e Pequenas Empresas no Paraná (Sebrae-PR)</w:t>
            </w:r>
          </w:p>
        </w:tc>
      </w:tr>
      <w:tr w:rsidR="00B801B6" w14:paraId="4C53D89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EB5A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Aldo Nelson Bona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DBAB9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Superintendência de Ciência, Tecnologia e Ensino Superior do Paraná (Seti-PR)</w:t>
            </w:r>
          </w:p>
        </w:tc>
      </w:tr>
      <w:tr w:rsidR="00B801B6" w14:paraId="248F14F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8ED0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Aleksandra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Gouveia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8F22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FAE Centro Universitário </w:t>
            </w:r>
          </w:p>
        </w:tc>
      </w:tr>
      <w:tr w:rsidR="00B801B6" w14:paraId="6F9F7EE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339A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Alexandre Paschoal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681FF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41D1D60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44FE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Aline Limberger Cassel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9C4DA" w14:textId="677023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Pontifícia Universidade Católica do Paraná (PUCPR) </w:t>
            </w:r>
            <w:r w:rsidR="0077161F">
              <w:rPr>
                <w:rFonts w:ascii="Gotham Light" w:hAnsi="Gotham Light" w:cstheme="majorHAnsi"/>
                <w:sz w:val="24"/>
                <w:szCs w:val="24"/>
              </w:rPr>
              <w:t>–</w:t>
            </w: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Campus Toledo</w:t>
            </w:r>
          </w:p>
        </w:tc>
      </w:tr>
      <w:tr w:rsidR="00B801B6" w14:paraId="3F29F30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CCE0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Alisson Rodrigues Alves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494D5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Parque Tecnológico de Itaipu </w:t>
            </w:r>
          </w:p>
        </w:tc>
      </w:tr>
      <w:tr w:rsidR="00B801B6" w14:paraId="6E7D6BB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D324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Altair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Santin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5DB1D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Pontifícia Universidade Católica do Paraná (PUCPR)</w:t>
            </w:r>
          </w:p>
        </w:tc>
      </w:tr>
      <w:tr w:rsidR="00B801B6" w14:paraId="7888CD84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A0BB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Altevir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Signor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BF78C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493B0F2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14AB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Amauri Alfieri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DD5CB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Londrina (UEL)</w:t>
            </w:r>
          </w:p>
        </w:tc>
      </w:tr>
      <w:tr w:rsidR="00B801B6" w14:paraId="441DC65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1455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Ana Alice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Eleuterio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8F578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da Integração Latino-Americana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Unila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48DE37D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F9BF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Ana Paula Conter Lara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F968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Federação dos Trabalhadores Rurais Agricultores Familiares do Estado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Fetaep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265C03A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136E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Anaide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Holzbach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74292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Associação das Empresas Brasileiras de Tecnologia da Informação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Assespro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e Associação Comercial e Empresarial de Toledo (ACIT)</w:t>
            </w:r>
          </w:p>
        </w:tc>
      </w:tr>
      <w:tr w:rsidR="00B801B6" w14:paraId="4F1B6E8A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4FDF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Anderson de Toledo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8F3CC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de Desenvolvimento Rural do Paraná (IDR-PR)</w:t>
            </w:r>
          </w:p>
        </w:tc>
      </w:tr>
      <w:tr w:rsidR="00B801B6" w14:paraId="4D6F0A4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C929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André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Egg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400790" w14:textId="5C22A8DA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</w:t>
            </w:r>
            <w:r w:rsidR="00A308C3" w:rsidRPr="000655C6">
              <w:rPr>
                <w:rFonts w:ascii="Gotham Light" w:hAnsi="Gotham Light" w:cstheme="majorHAnsi"/>
                <w:sz w:val="24"/>
                <w:szCs w:val="24"/>
              </w:rPr>
              <w:t>nespar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) –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Pró-reitoria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Pesquisa e Pós-graduação</w:t>
            </w:r>
          </w:p>
        </w:tc>
      </w:tr>
      <w:tr w:rsidR="00B801B6" w14:paraId="2E674FC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B613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Angelo Rondina Neto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FDB07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Londrina (UEL)</w:t>
            </w:r>
          </w:p>
        </w:tc>
      </w:tr>
      <w:tr w:rsidR="00B801B6" w14:paraId="04EBF06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D100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Arcangelo Augusto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Signor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0D1BB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Federal do Paraná (IFPR) – Campus Foz do Iguaçu</w:t>
            </w:r>
          </w:p>
        </w:tc>
      </w:tr>
      <w:tr w:rsidR="00B801B6" w14:paraId="35C80D9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355F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Arlete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Beuren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B6EDA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 – Campus Santa Helena</w:t>
            </w:r>
          </w:p>
        </w:tc>
      </w:tr>
      <w:tr w:rsidR="00B801B6" w14:paraId="500CA17B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E1F3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lastRenderedPageBreak/>
              <w:t xml:space="preserve">Camilo Freddy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Morejon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C148A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79572F55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BC6B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Carla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Rieger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Bregoli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23754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Associação Comercial e Empresarial de Marechal Cândido Rondon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Acimacar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0318689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FCA7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Christian Mendes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C6F0F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759C553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034F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Claudia Regina Xavier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AC49E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22A79ABB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F376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Claudio Roberto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Marquetto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Mauricio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DBC2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001E78C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7AFE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Cleber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Lindino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54250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– Campus Toledo</w:t>
            </w:r>
          </w:p>
        </w:tc>
      </w:tr>
      <w:tr w:rsidR="00B801B6" w14:paraId="220C7DF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B68D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Cleiltan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Novais da Silva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C0F89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Instituto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Cesumar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Ciência, Tecnologia e Inovação (ICETI)</w:t>
            </w:r>
          </w:p>
        </w:tc>
      </w:tr>
      <w:tr w:rsidR="00B801B6" w14:paraId="47E12C43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A05E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Cleverson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Andreoli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D2966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Superior de Administração e Economia (ISAE) – Programa de Mestrado Profissional em Governança e Sustentabilidade</w:t>
            </w:r>
          </w:p>
        </w:tc>
      </w:tr>
      <w:tr w:rsidR="00B801B6" w14:paraId="0A790139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BD25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Cristian Jair Paredes Aguilar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704E4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Parque Tecnológico de Itaipu </w:t>
            </w:r>
          </w:p>
        </w:tc>
      </w:tr>
      <w:tr w:rsidR="00B801B6" w14:paraId="0939EDE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096F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Cristianne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Cordeiro Nascimento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D32F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Londrina (UEL)</w:t>
            </w:r>
          </w:p>
        </w:tc>
      </w:tr>
      <w:tr w:rsidR="00B801B6" w14:paraId="41E580C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8702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Daniel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Teotonio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do Nascimento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A3CC6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da Integração Latino-Americana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Unila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1E90C04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9573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Debora de Mello Santana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E2959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Maringá (UEM)</w:t>
            </w:r>
          </w:p>
        </w:tc>
      </w:tr>
      <w:tr w:rsidR="00B801B6" w14:paraId="2389046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E480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Deise Baptista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8D15C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</w:t>
            </w:r>
          </w:p>
        </w:tc>
      </w:tr>
      <w:tr w:rsidR="00B801B6" w14:paraId="74B0186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9C09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Eduardo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Agustinho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DE92B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Pontifícia Universidade Católica do Paraná (PUCPR)</w:t>
            </w:r>
          </w:p>
        </w:tc>
      </w:tr>
      <w:tr w:rsidR="00B801B6" w14:paraId="05DC5A9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4122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Eduardo Cesar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Dechechi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598F5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473A9CA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8C1AD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Emerson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Czachorowski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F591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de Bioengenharia Erasto Gaertner</w:t>
            </w:r>
          </w:p>
        </w:tc>
      </w:tr>
      <w:tr w:rsidR="00B801B6" w14:paraId="30DDDA1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89AD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Fátima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Padoan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78303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Norte do Paraná (UENP)</w:t>
            </w:r>
          </w:p>
        </w:tc>
      </w:tr>
      <w:tr w:rsidR="00B801B6" w14:paraId="0E6D6C7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0360D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Fabiana Veloso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8024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2550AF7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7BE8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Fabio Luiz Grassi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4B64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Maringá (UEM)</w:t>
            </w:r>
          </w:p>
        </w:tc>
      </w:tr>
      <w:tr w:rsidR="00B801B6" w14:paraId="154656A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7FF2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Fabricio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Maestá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B491B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22EAF43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6D0E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Fernando Pacheco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838E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Fundação Araucária</w:t>
            </w:r>
          </w:p>
        </w:tc>
      </w:tr>
      <w:tr w:rsidR="00B801B6" w14:paraId="548FE84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7D21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Flavio Furlan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2F28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Coordenadoria das Associações Comerciais e Empresariais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Caciopar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056525E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F02E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lastRenderedPageBreak/>
              <w:t>Gilmar Ribeiro de Mello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B016B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38ABF3BB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CEA1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Giovani Marino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Favero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5C300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Ponta Grossa (UEPG)</w:t>
            </w:r>
          </w:p>
        </w:tc>
      </w:tr>
      <w:tr w:rsidR="00B801B6" w14:paraId="25CA6553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B22FB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Graciela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Bolzon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Muniz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C5C3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 – Vice-reitoria</w:t>
            </w:r>
          </w:p>
        </w:tc>
      </w:tr>
      <w:tr w:rsidR="00B801B6" w14:paraId="09E05C2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DF59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Gustavo Vieira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3BD4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da Integração Latino-Americana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Unila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0DD108F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D03F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Halley Oliveira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DD77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Londrina (UEL) e Novos Arranjos de Pesquisa e Inovação (NAPI) – Biodiversidade</w:t>
            </w:r>
          </w:p>
        </w:tc>
      </w:tr>
      <w:tr w:rsidR="00B801B6" w14:paraId="2AA59CE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1BFC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Hugo Ceron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37EDA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Sistema Federação das Indústrias do Estado do Paraná (Fiep) – Cascavel </w:t>
            </w:r>
          </w:p>
        </w:tc>
      </w:tr>
      <w:tr w:rsidR="00B801B6" w14:paraId="65A0F55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207D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Hugo Alexandre Souza Ribeiro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73917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Sistema Regional de Inovação Oeste do Paraná (SRI) –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Iguassu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Valley</w:t>
            </w:r>
          </w:p>
        </w:tc>
      </w:tr>
      <w:tr w:rsidR="00B801B6" w14:paraId="30FC16E3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2279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Izoulet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Cortes Filho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E66D4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Associação das Empresas Brasileiras de Tecnologia da Informação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Assespro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43C8B23A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06DC3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Júlio Pacheco Monteiro Neto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3B8E2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1A1CEE5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A28E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João Carlos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Boscardin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B0B50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de Pesquisa Educação e Tecnologia (IPETEC)</w:t>
            </w:r>
          </w:p>
        </w:tc>
      </w:tr>
      <w:tr w:rsidR="00B801B6" w14:paraId="3EFE3BA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EF2BB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João Paulo Rezende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6CA4E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Inovacit</w:t>
            </w:r>
            <w:proofErr w:type="spellEnd"/>
          </w:p>
        </w:tc>
      </w:tr>
      <w:tr w:rsidR="00B801B6" w14:paraId="546C034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46A4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Jorge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Assade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Leludak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AE57D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0A40CB28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7B67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José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Maurino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Oliveira Martins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AF684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Secretaria de Estado da Fazenda (Sefa) e Sistema Estadual de Parques Tecnológicos (SEPARTEC)</w:t>
            </w:r>
          </w:p>
        </w:tc>
      </w:tr>
      <w:tr w:rsidR="00B801B6" w14:paraId="3191712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E831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José Angelo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Nicacio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6EC3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), Conselho de Desenvolvimento Econômico e Social de Marechal Cândido Rondon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Codemar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e Conselho de Desenvolvimento dos Municípios Lindeiros ao Lago de Itaipu</w:t>
            </w:r>
          </w:p>
        </w:tc>
      </w:tr>
      <w:tr w:rsidR="00B801B6" w14:paraId="6F95588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F616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Josiele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Dal'Agnol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37892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Biopark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</w:p>
        </w:tc>
      </w:tr>
      <w:tr w:rsidR="00B801B6" w14:paraId="39677BF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716E0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Kadima Nayara Teixeira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971E0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</w:t>
            </w:r>
          </w:p>
        </w:tc>
      </w:tr>
      <w:tr w:rsidR="00B801B6" w14:paraId="46CA9FF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0C480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Lara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Biezus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48B2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Programa Oeste em Desenvolvimento (POD)</w:t>
            </w:r>
          </w:p>
        </w:tc>
      </w:tr>
      <w:tr w:rsidR="00B801B6" w14:paraId="01F6381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6E5C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Leandro Berti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89B52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Superhub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Nano</w:t>
            </w:r>
          </w:p>
        </w:tc>
      </w:tr>
      <w:tr w:rsidR="00B801B6" w14:paraId="6E995D6A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264F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Lila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Voeffrey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77D0F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Instituto Tecnológico Iguazú –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Consejo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Desarrollo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Económico Social y Ambiental de Puerto Iguazú</w:t>
            </w:r>
          </w:p>
        </w:tc>
      </w:tr>
      <w:tr w:rsidR="00B801B6" w14:paraId="7951286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18DB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Lucimara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Stolz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Roman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76A9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</w:t>
            </w:r>
          </w:p>
        </w:tc>
      </w:tr>
      <w:tr w:rsidR="00B801B6" w14:paraId="1BB0C12A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86DEF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Luiz Fernando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Cotica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2384F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Universidade Estadual de Maringá (UEM) –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Pró-Reitoria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Pesquisa e Pós-Graduação</w:t>
            </w:r>
          </w:p>
        </w:tc>
      </w:tr>
      <w:tr w:rsidR="00B801B6" w14:paraId="4568C70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F1C0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lastRenderedPageBreak/>
              <w:t xml:space="preserve">Málaga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Soutto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-Mayor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34C7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66BE279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8E72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Marcelo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Ewerling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8D48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Associação Comercial e Empresarial de Marechal Cândido Rondon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Acimacar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6A4E19A5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0CE8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Marcelo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FEE2C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Maringá (UEM) – Incubadora/Parque tecnológico</w:t>
            </w:r>
          </w:p>
        </w:tc>
      </w:tr>
      <w:tr w:rsidR="00B801B6" w14:paraId="324E777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AC1B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Marcelo Antonio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Percicotti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da Silva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27074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Secretaria de Estado do Planejamento e Projetos Estruturantes – Paraná</w:t>
            </w:r>
          </w:p>
        </w:tc>
      </w:tr>
      <w:tr w:rsidR="00B801B6" w14:paraId="51921E0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B1B0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Marcos Ventura Faria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8B7D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Universidade Estadual do Centro-Oeste (Unicentro – Paraná) </w:t>
            </w:r>
          </w:p>
        </w:tc>
      </w:tr>
      <w:tr w:rsidR="00B801B6" w14:paraId="18B694F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5F73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Maria da Piedade Araújo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39AD3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– Campus Cascavel</w:t>
            </w:r>
          </w:p>
        </w:tc>
      </w:tr>
      <w:tr w:rsidR="00B801B6" w14:paraId="4781E71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D588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Maria do Carmo Duarte Freitas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B98DC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</w:t>
            </w:r>
          </w:p>
        </w:tc>
      </w:tr>
      <w:tr w:rsidR="00B801B6" w14:paraId="19A1C32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BFDE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Mario César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Costenaro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9873D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Federação da Associações Comerciais e Empresariais do Estado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Faciap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e Coordenadoria das Associações Comerciais e Empresariais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Caciopar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6D1FE23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9395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Miguel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Ostoja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Roguski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A8931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de Pesquisa e Planejamento Urbano de Curitiba (IPPUC)</w:t>
            </w:r>
          </w:p>
        </w:tc>
      </w:tr>
      <w:tr w:rsidR="00B801B6" w14:paraId="5D3B4ABB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7859E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Murilo Pereira Moisés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DEC9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 – Reitoria</w:t>
            </w:r>
          </w:p>
        </w:tc>
      </w:tr>
      <w:tr w:rsidR="00B801B6" w14:paraId="05F3881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EBFE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Nestor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Bragagnolo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04BDD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Secretaria do Planejamento e Projetos Estruturantes – Paraná</w:t>
            </w:r>
          </w:p>
        </w:tc>
      </w:tr>
      <w:tr w:rsidR="00B801B6" w14:paraId="0C0A38A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7DF6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Nilceu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Deitos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02231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Fundação Araucária</w:t>
            </w:r>
          </w:p>
        </w:tc>
      </w:tr>
      <w:tr w:rsidR="00B801B6" w14:paraId="4C354114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C10B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Nilmar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Santos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8A499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Associação Comercial e Empresarial de Marechal Cândido Rondon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Acimacar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5457463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E6A5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Patrícia Maria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Reckziegel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Rocha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126FC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0E1E17B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E724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Paula Cristina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Trevilatto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382D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Pontifícia Universidade Católica do Paraná (PUCPR)</w:t>
            </w:r>
          </w:p>
        </w:tc>
      </w:tr>
      <w:tr w:rsidR="00B801B6" w14:paraId="0033E52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FA8A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Paulo Marques Ferreira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525B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Banco Regional de Desenvolvimento do Extremo Sul (BRDE)</w:t>
            </w:r>
          </w:p>
        </w:tc>
      </w:tr>
      <w:tr w:rsidR="00B801B6" w14:paraId="53D825D4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AA13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Paulo Schmidt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37C6F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Superintendência de Ciência, Tecnologia e Ensino Superior do Paraná (Seti-PR)</w:t>
            </w:r>
          </w:p>
        </w:tc>
      </w:tr>
      <w:tr w:rsidR="00B801B6" w14:paraId="7C1C1124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00FC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Pedro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Guena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Espinha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DA41D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Pontifícia Universidade Católica do Paraná (PUCPR)</w:t>
            </w:r>
          </w:p>
        </w:tc>
      </w:tr>
      <w:tr w:rsidR="00B801B6" w14:paraId="1313EB4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A9BF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Rafael Amaral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CD752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Fundação para o Desenvolvimento Científico e Tecnológico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Fundetec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4BC9F897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6C12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Rafael González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9D3A15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CIBiogás</w:t>
            </w:r>
            <w:proofErr w:type="spellEnd"/>
          </w:p>
        </w:tc>
      </w:tr>
      <w:tr w:rsidR="00B801B6" w14:paraId="6DB54F9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2A53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Rafael Pereira da Silva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98886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de Londrina (UEL)</w:t>
            </w:r>
          </w:p>
        </w:tc>
      </w:tr>
      <w:tr w:rsidR="00B801B6" w14:paraId="5531E98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BC8B2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Rainer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Zielasko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337C3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Programa Oeste em Desenvolvimento (POD)</w:t>
            </w:r>
          </w:p>
        </w:tc>
      </w:tr>
      <w:tr w:rsidR="00B801B6" w14:paraId="41E3C5C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9CBA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lastRenderedPageBreak/>
              <w:t xml:space="preserve">Remi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Schorn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74C3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29BCFF5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831E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Renato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Tratch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100C8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Pontifícia Universidade Católica do Paraná (PUCPR) – Campus Toledo </w:t>
            </w:r>
          </w:p>
        </w:tc>
      </w:tr>
      <w:tr w:rsidR="00B801B6" w14:paraId="44B85CD3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D83B4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Renato Guerreiro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D25FF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Federal do Paraná (IFPR)</w:t>
            </w:r>
          </w:p>
        </w:tc>
      </w:tr>
      <w:tr w:rsidR="00B801B6" w14:paraId="72EDEE34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DD94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Ricardo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Ferracin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145AD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Fundação Parque Tecnológico de Itaipu</w:t>
            </w:r>
          </w:p>
        </w:tc>
      </w:tr>
      <w:tr w:rsidR="00B801B6" w14:paraId="7283916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823A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Rodolfo Eduardo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Vertuan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DC5A5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 – Campus Toledo</w:t>
            </w:r>
          </w:p>
        </w:tc>
      </w:tr>
      <w:tr w:rsidR="00B801B6" w14:paraId="4C828462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EF55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Rodrigo Arantes Reis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C5DB80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Federal do Paraná (UFPR)</w:t>
            </w:r>
          </w:p>
        </w:tc>
      </w:tr>
      <w:tr w:rsidR="00B801B6" w14:paraId="693FE4F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D76F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Rubens Alexandre de Faria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6AF4D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</w:t>
            </w:r>
          </w:p>
        </w:tc>
      </w:tr>
      <w:tr w:rsidR="00B801B6" w14:paraId="7E82028D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1057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Samuel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Klauck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AB51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 e Novos Arranjos de Pesquisa e Inovação (NAPI) – Trinacional</w:t>
            </w:r>
          </w:p>
        </w:tc>
      </w:tr>
      <w:tr w:rsidR="00B801B6" w14:paraId="4EA2BCD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8DB3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Sandro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Rautenberg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EE223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Universidade Estadual do Centro-Oeste (Unicentro – Paraná) </w:t>
            </w:r>
          </w:p>
        </w:tc>
      </w:tr>
      <w:tr w:rsidR="00B801B6" w14:paraId="1B77EB06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46F4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Sanimar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Busse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9E06CD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Oeste do Paraná (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Unioeste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>)</w:t>
            </w:r>
          </w:p>
        </w:tc>
      </w:tr>
      <w:tr w:rsidR="00B801B6" w14:paraId="75E37AA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0051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Sidgley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Camargo de Andrade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0413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Tecnológica Federal do Paraná (UTFPR) – Campus Toledo</w:t>
            </w:r>
          </w:p>
        </w:tc>
      </w:tr>
      <w:tr w:rsidR="00B801B6" w14:paraId="24F5AAC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4588B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Simone Cristina Castanho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Sabaini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de Melo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258F4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Universidade Estadual do Norte do Paraná (UENP)</w:t>
            </w:r>
          </w:p>
        </w:tc>
      </w:tr>
      <w:tr w:rsidR="00B801B6" w14:paraId="5AC76B30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43E38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Sueli Pires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F3EC9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Fundação Araucária </w:t>
            </w:r>
          </w:p>
        </w:tc>
      </w:tr>
      <w:tr w:rsidR="00B801B6" w14:paraId="75E4765C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7FB96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Tatiana Oliveira Couto Silva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B7997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Federal do Paraná (IFPR)</w:t>
            </w:r>
          </w:p>
        </w:tc>
      </w:tr>
      <w:tr w:rsidR="00B801B6" w14:paraId="28273BFF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DA5D3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Thiago D'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Arisbo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F79FA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Sistema Federação das Indústrias do Estado do Paraná (Fiep)</w:t>
            </w:r>
          </w:p>
        </w:tc>
      </w:tr>
      <w:tr w:rsidR="00B801B6" w14:paraId="7A3435BE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566C1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Vania Moda Cirino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3A7AC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de Desenvolvimento Rural do Paraná (IDR-PR)</w:t>
            </w:r>
          </w:p>
        </w:tc>
      </w:tr>
      <w:tr w:rsidR="00B801B6" w14:paraId="57A01191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EA61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Weliton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Perdomo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35D7AF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Serviço Brasileiro de Apoio às Micro e Pequenas Empresas no Paraná (Sebrae-PR)</w:t>
            </w:r>
          </w:p>
        </w:tc>
      </w:tr>
      <w:tr w:rsidR="00B801B6" w14:paraId="742A559A" w14:textId="77777777" w:rsidTr="00B801B6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EBBF9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Wylliam</w:t>
            </w:r>
            <w:proofErr w:type="spellEnd"/>
            <w:r w:rsidRPr="000655C6">
              <w:rPr>
                <w:rFonts w:ascii="Gotham Light" w:hAnsi="Gotham Light" w:cstheme="majorHAnsi"/>
                <w:sz w:val="24"/>
                <w:szCs w:val="24"/>
              </w:rPr>
              <w:t xml:space="preserve"> </w:t>
            </w:r>
            <w:proofErr w:type="spellStart"/>
            <w:r w:rsidRPr="000655C6">
              <w:rPr>
                <w:rFonts w:ascii="Gotham Light" w:hAnsi="Gotham Light" w:cstheme="majorHAnsi"/>
                <w:sz w:val="24"/>
                <w:szCs w:val="24"/>
              </w:rPr>
              <w:t>Gongora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E0032" w14:textId="77777777" w:rsidR="00B801B6" w:rsidRPr="000655C6" w:rsidRDefault="00B801B6" w:rsidP="00864047">
            <w:pPr>
              <w:spacing w:after="0" w:line="288" w:lineRule="auto"/>
              <w:rPr>
                <w:rFonts w:ascii="Gotham Light" w:hAnsi="Gotham Light" w:cstheme="majorHAnsi"/>
                <w:sz w:val="24"/>
                <w:szCs w:val="24"/>
              </w:rPr>
            </w:pPr>
            <w:r w:rsidRPr="000655C6">
              <w:rPr>
                <w:rFonts w:ascii="Gotham Light" w:hAnsi="Gotham Light" w:cstheme="majorHAnsi"/>
                <w:sz w:val="24"/>
                <w:szCs w:val="24"/>
              </w:rPr>
              <w:t>Instituto Federal do Paraná (IFPR) – Campus Assis Chateaubriand</w:t>
            </w:r>
          </w:p>
        </w:tc>
      </w:tr>
    </w:tbl>
    <w:p w14:paraId="14CEE3D5" w14:textId="77777777" w:rsidR="007D5FD0" w:rsidRPr="007D5FD0" w:rsidRDefault="007D5FD0" w:rsidP="009245C8">
      <w:pPr>
        <w:rPr>
          <w:rFonts w:asciiTheme="majorHAnsi" w:hAnsiTheme="majorHAnsi" w:cstheme="majorHAnsi"/>
          <w:b/>
          <w:bCs/>
          <w:sz w:val="16"/>
          <w:szCs w:val="16"/>
        </w:rPr>
      </w:pPr>
    </w:p>
    <w:sectPr w:rsidR="007D5FD0" w:rsidRPr="007D5FD0" w:rsidSect="007C54EF">
      <w:pgSz w:w="16838" w:h="11906" w:orient="landscape"/>
      <w:pgMar w:top="1701" w:right="1418" w:bottom="170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D844" w14:textId="77777777" w:rsidR="006D3AED" w:rsidRDefault="006D3AED" w:rsidP="00D929C7">
      <w:pPr>
        <w:spacing w:after="0" w:line="240" w:lineRule="auto"/>
      </w:pPr>
      <w:r>
        <w:separator/>
      </w:r>
    </w:p>
  </w:endnote>
  <w:endnote w:type="continuationSeparator" w:id="0">
    <w:p w14:paraId="12317B97" w14:textId="77777777" w:rsidR="006D3AED" w:rsidRDefault="006D3AED" w:rsidP="00D9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360A7"/>
      </w:rPr>
      <w:id w:val="-1282330324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533CE5E" w14:textId="1D45B52D" w:rsidR="00091C00" w:rsidRPr="00D369F3" w:rsidRDefault="00091C00" w:rsidP="00D369F3">
        <w:pPr>
          <w:pStyle w:val="Rodap"/>
          <w:jc w:val="center"/>
          <w:rPr>
            <w:b/>
            <w:bCs/>
            <w:color w:val="6360A7"/>
            <w:sz w:val="20"/>
            <w:szCs w:val="20"/>
          </w:rPr>
        </w:pPr>
        <w:r w:rsidRPr="00524369">
          <w:rPr>
            <w:b/>
            <w:bCs/>
            <w:color w:val="6360A7"/>
            <w:sz w:val="20"/>
            <w:szCs w:val="20"/>
          </w:rPr>
          <w:fldChar w:fldCharType="begin"/>
        </w:r>
        <w:r w:rsidRPr="00524369">
          <w:rPr>
            <w:b/>
            <w:bCs/>
            <w:color w:val="6360A7"/>
            <w:sz w:val="20"/>
            <w:szCs w:val="20"/>
          </w:rPr>
          <w:instrText>PAGE   \* MERGEFORMAT</w:instrText>
        </w:r>
        <w:r w:rsidRPr="00524369">
          <w:rPr>
            <w:b/>
            <w:bCs/>
            <w:color w:val="6360A7"/>
            <w:sz w:val="20"/>
            <w:szCs w:val="20"/>
          </w:rPr>
          <w:fldChar w:fldCharType="separate"/>
        </w:r>
        <w:r w:rsidRPr="00524369">
          <w:rPr>
            <w:b/>
            <w:bCs/>
            <w:color w:val="6360A7"/>
            <w:sz w:val="20"/>
            <w:szCs w:val="20"/>
          </w:rPr>
          <w:t>2</w:t>
        </w:r>
        <w:r w:rsidRPr="00524369">
          <w:rPr>
            <w:b/>
            <w:bCs/>
            <w:color w:val="6360A7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0750" w14:textId="77777777" w:rsidR="006D3AED" w:rsidRDefault="006D3AED" w:rsidP="00D929C7">
      <w:pPr>
        <w:spacing w:after="0" w:line="240" w:lineRule="auto"/>
      </w:pPr>
      <w:r>
        <w:separator/>
      </w:r>
    </w:p>
  </w:footnote>
  <w:footnote w:type="continuationSeparator" w:id="0">
    <w:p w14:paraId="4B6EC57A" w14:textId="77777777" w:rsidR="006D3AED" w:rsidRDefault="006D3AED" w:rsidP="00D929C7">
      <w:pPr>
        <w:spacing w:after="0" w:line="240" w:lineRule="auto"/>
      </w:pPr>
      <w:r>
        <w:continuationSeparator/>
      </w:r>
    </w:p>
  </w:footnote>
  <w:footnote w:id="1">
    <w:p w14:paraId="47678315" w14:textId="191408F3" w:rsidR="00B03A99" w:rsidRPr="00636A57" w:rsidRDefault="00B03A99" w:rsidP="00B03A99">
      <w:pPr>
        <w:pStyle w:val="Textodenotaderodap"/>
        <w:jc w:val="both"/>
        <w:rPr>
          <w:rFonts w:ascii="Gotham Light" w:hAnsi="Gotham Light" w:cstheme="majorHAnsi"/>
        </w:rPr>
      </w:pPr>
      <w:r w:rsidRPr="00636A57">
        <w:rPr>
          <w:rStyle w:val="Refdenotaderodap"/>
          <w:rFonts w:ascii="Gotham Light" w:hAnsi="Gotham Light" w:cstheme="majorHAnsi"/>
        </w:rPr>
        <w:footnoteRef/>
      </w:r>
      <w:r w:rsidRPr="00636A57">
        <w:rPr>
          <w:rFonts w:ascii="Gotham Light" w:hAnsi="Gotham Light" w:cstheme="majorHAnsi"/>
        </w:rPr>
        <w:t xml:space="preserve"> As afirmações adiante exibidas sem indicação temporal apresentam os dados mais recentes disponíveis, em geral publicizados entre 2018 e 2021, por diversos levantamentos e bases de consulta. Naquelas inferências nas quais há maior defasagem ou, na direção contrária, a atualidade se revela mais prevalente, o ano está indicado, para melhor posicionar contextualmente a inferência.</w:t>
      </w:r>
    </w:p>
  </w:footnote>
  <w:footnote w:id="2">
    <w:p w14:paraId="0201416E" w14:textId="792CAAD6" w:rsidR="00F42322" w:rsidRDefault="00F42322">
      <w:pPr>
        <w:pStyle w:val="Textodenotaderodap"/>
      </w:pPr>
      <w:r>
        <w:rPr>
          <w:rStyle w:val="Refdenotaderodap"/>
        </w:rPr>
        <w:footnoteRef/>
      </w:r>
      <w:r>
        <w:t xml:space="preserve"> Ipardes (2003).</w:t>
      </w:r>
    </w:p>
  </w:footnote>
  <w:footnote w:id="3">
    <w:p w14:paraId="7815D2AD" w14:textId="0EA61F46" w:rsidR="00956AE6" w:rsidRDefault="00956A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090">
        <w:rPr>
          <w:rFonts w:ascii="Gotham Light" w:hAnsi="Gotham Light" w:cstheme="majorHAnsi"/>
        </w:rPr>
        <w:t>Fundação Araucária; Sistema Fiep; Governo do Paraná (2021)</w:t>
      </w:r>
      <w:r>
        <w:rPr>
          <w:rFonts w:ascii="Gotham Light" w:hAnsi="Gotham Light" w:cstheme="majorHAnsi"/>
        </w:rPr>
        <w:t>; Ipardes (2021); PNUD (2018).</w:t>
      </w:r>
    </w:p>
  </w:footnote>
  <w:footnote w:id="4">
    <w:p w14:paraId="11A812E9" w14:textId="6FE61EE0" w:rsidR="00956AE6" w:rsidRDefault="00956AE6" w:rsidP="00956A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090">
        <w:rPr>
          <w:rFonts w:ascii="Gotham Light" w:hAnsi="Gotham Light" w:cstheme="majorHAnsi"/>
        </w:rPr>
        <w:t>Fundação Araucária; Sistema Fiep; Governo do Paraná (2021)</w:t>
      </w:r>
      <w:r>
        <w:rPr>
          <w:rFonts w:ascii="Gotham Light" w:hAnsi="Gotham Light" w:cstheme="majorHAnsi"/>
        </w:rPr>
        <w:t>; Ipardes (2003, 2021); Oeste em Desenvolvimento (2018, 2016).</w:t>
      </w:r>
    </w:p>
  </w:footnote>
  <w:footnote w:id="5">
    <w:p w14:paraId="740E5E98" w14:textId="2835FA19" w:rsidR="00956AE6" w:rsidRDefault="00956AE6" w:rsidP="00956A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090">
        <w:rPr>
          <w:rFonts w:ascii="Gotham Light" w:hAnsi="Gotham Light" w:cstheme="majorHAnsi"/>
        </w:rPr>
        <w:t>Fundação Araucária; Sistema Fiep; Governo do Paraná (2021)</w:t>
      </w:r>
      <w:r>
        <w:rPr>
          <w:rFonts w:ascii="Gotham Light" w:hAnsi="Gotham Light" w:cstheme="majorHAnsi"/>
        </w:rPr>
        <w:t>; Ipardes (2021); Sebrae (2021)</w:t>
      </w:r>
      <w:r w:rsidR="005C11B3">
        <w:rPr>
          <w:rFonts w:ascii="Gotham Light" w:hAnsi="Gotham Light" w:cstheme="majorHAnsi"/>
        </w:rPr>
        <w:t>; SRI Oeste (2019)</w:t>
      </w:r>
      <w:r>
        <w:rPr>
          <w:rFonts w:ascii="Gotham Light" w:hAnsi="Gotham Light" w:cstheme="majorHAnsi"/>
        </w:rPr>
        <w:t>.</w:t>
      </w:r>
    </w:p>
  </w:footnote>
  <w:footnote w:id="6">
    <w:p w14:paraId="7AD26782" w14:textId="6C4E2201" w:rsidR="00CF6B6C" w:rsidRPr="005C11B3" w:rsidRDefault="00CF6B6C">
      <w:pPr>
        <w:pStyle w:val="Textodenotaderodap"/>
      </w:pPr>
      <w:r w:rsidRPr="005C11B3">
        <w:rPr>
          <w:rStyle w:val="Refdenotaderodap"/>
        </w:rPr>
        <w:footnoteRef/>
      </w:r>
      <w:r w:rsidRPr="005C11B3">
        <w:t xml:space="preserve"> Oeste em Desenvolvimento (2018).</w:t>
      </w:r>
    </w:p>
  </w:footnote>
  <w:footnote w:id="7">
    <w:p w14:paraId="6DE7D536" w14:textId="03C826D8" w:rsidR="005C11B3" w:rsidRDefault="005C11B3" w:rsidP="005C11B3">
      <w:pPr>
        <w:pStyle w:val="Textodenotaderodap"/>
      </w:pPr>
      <w:r w:rsidRPr="005C11B3">
        <w:rPr>
          <w:rStyle w:val="Refdenotaderodap"/>
        </w:rPr>
        <w:footnoteRef/>
      </w:r>
      <w:r w:rsidRPr="005C11B3">
        <w:t xml:space="preserve"> </w:t>
      </w:r>
      <w:r w:rsidRPr="005C11B3">
        <w:rPr>
          <w:rFonts w:ascii="Gotham Light" w:hAnsi="Gotham Light" w:cstheme="majorHAnsi"/>
        </w:rPr>
        <w:t>Fundação Araucária; Sistema Fiep; Governo do Paraná (2021); Ipardes (2021); Sebrae (2021); SRI Oeste (2019); Observatório Sistema Fiep (2021)</w:t>
      </w:r>
      <w:r w:rsidR="00D369F3">
        <w:rPr>
          <w:rFonts w:ascii="Gotham Light" w:hAnsi="Gotham Light" w:cstheme="majorHAnsi"/>
        </w:rPr>
        <w:t>; Oliveira (2020); Oeste em Desenvolvimento (2016, 2018).</w:t>
      </w:r>
    </w:p>
  </w:footnote>
  <w:footnote w:id="8">
    <w:p w14:paraId="40A8712A" w14:textId="2EC8F409" w:rsidR="00D369F3" w:rsidRDefault="00D369F3" w:rsidP="00D369F3">
      <w:pPr>
        <w:pStyle w:val="Textodenotaderodap"/>
      </w:pPr>
      <w:r w:rsidRPr="005C11B3">
        <w:rPr>
          <w:rStyle w:val="Refdenotaderodap"/>
        </w:rPr>
        <w:footnoteRef/>
      </w:r>
      <w:r w:rsidRPr="005C11B3">
        <w:t xml:space="preserve"> </w:t>
      </w:r>
      <w:r w:rsidRPr="005C11B3">
        <w:rPr>
          <w:rFonts w:ascii="Gotham Light" w:hAnsi="Gotham Light" w:cstheme="majorHAnsi"/>
        </w:rPr>
        <w:t>Fundação Araucária; Sistema Fiep; Governo do Paraná (2021); Ipardes (2021);</w:t>
      </w:r>
      <w:r>
        <w:rPr>
          <w:rFonts w:ascii="Gotham Light" w:hAnsi="Gotham Light" w:cstheme="majorHAnsi"/>
        </w:rPr>
        <w:t xml:space="preserve"> Oeste em Desenvolvimento (2016, 2018).</w:t>
      </w:r>
    </w:p>
  </w:footnote>
  <w:footnote w:id="9">
    <w:p w14:paraId="759AD8BD" w14:textId="77777777" w:rsidR="00D369F3" w:rsidRDefault="00D369F3" w:rsidP="00D369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090">
        <w:rPr>
          <w:rFonts w:ascii="Gotham Light" w:hAnsi="Gotham Light" w:cstheme="majorHAnsi"/>
        </w:rPr>
        <w:t>Fundação Araucária; Sistema Fiep; Governo do Paraná (2021)</w:t>
      </w:r>
      <w:r>
        <w:rPr>
          <w:rFonts w:ascii="Gotham Light" w:hAnsi="Gotham Light" w:cstheme="majorHAnsi"/>
        </w:rPr>
        <w:t>; Ipardes (2021); PNUD (2018).</w:t>
      </w:r>
    </w:p>
  </w:footnote>
  <w:footnote w:id="10">
    <w:p w14:paraId="2D135497" w14:textId="77777777" w:rsidR="00D369F3" w:rsidRDefault="00D369F3" w:rsidP="00D369F3">
      <w:pPr>
        <w:pStyle w:val="Textodenotaderodap"/>
      </w:pPr>
      <w:r w:rsidRPr="005C11B3">
        <w:rPr>
          <w:rStyle w:val="Refdenotaderodap"/>
        </w:rPr>
        <w:footnoteRef/>
      </w:r>
      <w:r w:rsidRPr="005C11B3">
        <w:t xml:space="preserve"> </w:t>
      </w:r>
      <w:r w:rsidRPr="005C11B3">
        <w:rPr>
          <w:rFonts w:ascii="Gotham Light" w:hAnsi="Gotham Light" w:cstheme="majorHAnsi"/>
        </w:rPr>
        <w:t>Fundação Araucária; Sistema Fiep; Governo do Paraná (2021); Ipardes (2021);</w:t>
      </w:r>
      <w:r>
        <w:rPr>
          <w:rFonts w:ascii="Gotham Light" w:hAnsi="Gotham Light" w:cstheme="majorHAnsi"/>
        </w:rPr>
        <w:t xml:space="preserve"> Oeste em Desenvolvimento (2016, 2018).</w:t>
      </w:r>
    </w:p>
  </w:footnote>
  <w:footnote w:id="11">
    <w:p w14:paraId="4BE3B35D" w14:textId="77777777" w:rsidR="007C54EF" w:rsidRDefault="007C54EF" w:rsidP="007C54EF">
      <w:pPr>
        <w:pStyle w:val="Textodenotaderodap"/>
      </w:pPr>
      <w:r w:rsidRPr="005C11B3">
        <w:rPr>
          <w:rStyle w:val="Refdenotaderodap"/>
        </w:rPr>
        <w:footnoteRef/>
      </w:r>
      <w:r w:rsidRPr="005C11B3">
        <w:t xml:space="preserve"> </w:t>
      </w:r>
      <w:r w:rsidRPr="005C11B3">
        <w:rPr>
          <w:rFonts w:ascii="Gotham Light" w:hAnsi="Gotham Light" w:cstheme="majorHAnsi"/>
        </w:rPr>
        <w:t>Fundação Araucária; Sistema Fiep; Governo do Paraná (2021); Ipardes (2021); Sebrae (2021); SRI Oeste (2019); Observatório Sistema Fiep (2021)</w:t>
      </w:r>
      <w:r>
        <w:rPr>
          <w:rFonts w:ascii="Gotham Light" w:hAnsi="Gotham Light" w:cstheme="majorHAnsi"/>
        </w:rPr>
        <w:t>; Oliveira (2020); Oeste em Desenvolvimento (2016,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0C45" w14:textId="220FDFAB" w:rsidR="00F83DF5" w:rsidRDefault="001E0FC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E3B5F" wp14:editId="5BCE2D88">
          <wp:simplePos x="0" y="0"/>
          <wp:positionH relativeFrom="margin">
            <wp:align>center</wp:align>
          </wp:positionH>
          <wp:positionV relativeFrom="paragraph">
            <wp:posOffset>-370659</wp:posOffset>
          </wp:positionV>
          <wp:extent cx="10874375" cy="772795"/>
          <wp:effectExtent l="0" t="0" r="317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437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CE0"/>
    <w:multiLevelType w:val="hybridMultilevel"/>
    <w:tmpl w:val="62C0F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4B6"/>
    <w:multiLevelType w:val="hybridMultilevel"/>
    <w:tmpl w:val="54F470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A0"/>
    <w:multiLevelType w:val="hybridMultilevel"/>
    <w:tmpl w:val="D3D423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134"/>
    <w:multiLevelType w:val="multilevel"/>
    <w:tmpl w:val="B41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21E06"/>
    <w:multiLevelType w:val="hybridMultilevel"/>
    <w:tmpl w:val="E67221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E252E"/>
    <w:multiLevelType w:val="hybridMultilevel"/>
    <w:tmpl w:val="21F2B4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3EA9"/>
    <w:multiLevelType w:val="hybridMultilevel"/>
    <w:tmpl w:val="589CCA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00A0"/>
    <w:multiLevelType w:val="hybridMultilevel"/>
    <w:tmpl w:val="3B7A06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93837"/>
    <w:multiLevelType w:val="hybridMultilevel"/>
    <w:tmpl w:val="C65C43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A6F70"/>
    <w:multiLevelType w:val="hybridMultilevel"/>
    <w:tmpl w:val="BC78D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A25D1"/>
    <w:multiLevelType w:val="hybridMultilevel"/>
    <w:tmpl w:val="0464C5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468A4"/>
    <w:multiLevelType w:val="hybridMultilevel"/>
    <w:tmpl w:val="2CE22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2MDU1N7C0MDQ1MjFU0lEKTi0uzszPAykwNKoFANe7BKYtAAAA"/>
  </w:docVars>
  <w:rsids>
    <w:rsidRoot w:val="00A2027F"/>
    <w:rsid w:val="000007DB"/>
    <w:rsid w:val="000239C5"/>
    <w:rsid w:val="00034D16"/>
    <w:rsid w:val="00044022"/>
    <w:rsid w:val="00050658"/>
    <w:rsid w:val="00057359"/>
    <w:rsid w:val="00065420"/>
    <w:rsid w:val="000655C6"/>
    <w:rsid w:val="00072F3E"/>
    <w:rsid w:val="00073C65"/>
    <w:rsid w:val="000747F2"/>
    <w:rsid w:val="000756AE"/>
    <w:rsid w:val="00083905"/>
    <w:rsid w:val="00084887"/>
    <w:rsid w:val="00091C00"/>
    <w:rsid w:val="000C03AC"/>
    <w:rsid w:val="000C3814"/>
    <w:rsid w:val="000D36D1"/>
    <w:rsid w:val="000E20AA"/>
    <w:rsid w:val="000E406E"/>
    <w:rsid w:val="000F7C80"/>
    <w:rsid w:val="00101028"/>
    <w:rsid w:val="00104C87"/>
    <w:rsid w:val="00107504"/>
    <w:rsid w:val="00111FBB"/>
    <w:rsid w:val="001123E3"/>
    <w:rsid w:val="001326B2"/>
    <w:rsid w:val="001351EA"/>
    <w:rsid w:val="00176F28"/>
    <w:rsid w:val="001B3D22"/>
    <w:rsid w:val="001B7C30"/>
    <w:rsid w:val="001D2CD0"/>
    <w:rsid w:val="001D79E8"/>
    <w:rsid w:val="001E0FCF"/>
    <w:rsid w:val="001E4BC6"/>
    <w:rsid w:val="001F33E1"/>
    <w:rsid w:val="002005DB"/>
    <w:rsid w:val="00202474"/>
    <w:rsid w:val="002063F6"/>
    <w:rsid w:val="00210922"/>
    <w:rsid w:val="00222A7C"/>
    <w:rsid w:val="002255E8"/>
    <w:rsid w:val="002306C8"/>
    <w:rsid w:val="00240105"/>
    <w:rsid w:val="00240CFB"/>
    <w:rsid w:val="0026411F"/>
    <w:rsid w:val="0027116D"/>
    <w:rsid w:val="00271AC7"/>
    <w:rsid w:val="00274997"/>
    <w:rsid w:val="002817E5"/>
    <w:rsid w:val="00281CC0"/>
    <w:rsid w:val="00292748"/>
    <w:rsid w:val="00295701"/>
    <w:rsid w:val="002A5142"/>
    <w:rsid w:val="002A70B1"/>
    <w:rsid w:val="002B6831"/>
    <w:rsid w:val="002C4137"/>
    <w:rsid w:val="002C5F81"/>
    <w:rsid w:val="002D4C23"/>
    <w:rsid w:val="002D7D3F"/>
    <w:rsid w:val="002E53CC"/>
    <w:rsid w:val="002E6808"/>
    <w:rsid w:val="002F446D"/>
    <w:rsid w:val="002F4B0F"/>
    <w:rsid w:val="002F7C99"/>
    <w:rsid w:val="00301E09"/>
    <w:rsid w:val="00310BC8"/>
    <w:rsid w:val="00311B4C"/>
    <w:rsid w:val="00313796"/>
    <w:rsid w:val="00326BFC"/>
    <w:rsid w:val="003520A3"/>
    <w:rsid w:val="0037088A"/>
    <w:rsid w:val="00375D7B"/>
    <w:rsid w:val="00380B6F"/>
    <w:rsid w:val="00393F17"/>
    <w:rsid w:val="003A3023"/>
    <w:rsid w:val="003A5893"/>
    <w:rsid w:val="003A7137"/>
    <w:rsid w:val="003C5093"/>
    <w:rsid w:val="003E3C19"/>
    <w:rsid w:val="00413327"/>
    <w:rsid w:val="00417BD2"/>
    <w:rsid w:val="004376D5"/>
    <w:rsid w:val="004400A3"/>
    <w:rsid w:val="00451F65"/>
    <w:rsid w:val="00454C91"/>
    <w:rsid w:val="00454CEB"/>
    <w:rsid w:val="00455AA4"/>
    <w:rsid w:val="00461C4A"/>
    <w:rsid w:val="00462C7B"/>
    <w:rsid w:val="00462DFB"/>
    <w:rsid w:val="00470A18"/>
    <w:rsid w:val="0047626C"/>
    <w:rsid w:val="0047684B"/>
    <w:rsid w:val="00483836"/>
    <w:rsid w:val="00487F3B"/>
    <w:rsid w:val="004969D6"/>
    <w:rsid w:val="004A3454"/>
    <w:rsid w:val="004A358A"/>
    <w:rsid w:val="004E413D"/>
    <w:rsid w:val="004E5570"/>
    <w:rsid w:val="004E7BAC"/>
    <w:rsid w:val="004F2903"/>
    <w:rsid w:val="004F3A6B"/>
    <w:rsid w:val="005170C8"/>
    <w:rsid w:val="005219EA"/>
    <w:rsid w:val="00524369"/>
    <w:rsid w:val="00533549"/>
    <w:rsid w:val="00540C82"/>
    <w:rsid w:val="00550E2A"/>
    <w:rsid w:val="005538AB"/>
    <w:rsid w:val="00554B7B"/>
    <w:rsid w:val="00555E4D"/>
    <w:rsid w:val="0056043A"/>
    <w:rsid w:val="005668A4"/>
    <w:rsid w:val="00571ECD"/>
    <w:rsid w:val="00572E6B"/>
    <w:rsid w:val="00577574"/>
    <w:rsid w:val="005A208D"/>
    <w:rsid w:val="005A5120"/>
    <w:rsid w:val="005A69F6"/>
    <w:rsid w:val="005B1287"/>
    <w:rsid w:val="005B50F2"/>
    <w:rsid w:val="005B5C28"/>
    <w:rsid w:val="005B7057"/>
    <w:rsid w:val="005C11B3"/>
    <w:rsid w:val="005C367D"/>
    <w:rsid w:val="006160DF"/>
    <w:rsid w:val="00624B43"/>
    <w:rsid w:val="00626802"/>
    <w:rsid w:val="00634E98"/>
    <w:rsid w:val="00636A57"/>
    <w:rsid w:val="006416D7"/>
    <w:rsid w:val="00650FAD"/>
    <w:rsid w:val="006571B7"/>
    <w:rsid w:val="00661A26"/>
    <w:rsid w:val="00675EB0"/>
    <w:rsid w:val="0068037A"/>
    <w:rsid w:val="00685341"/>
    <w:rsid w:val="006A00F7"/>
    <w:rsid w:val="006A33E1"/>
    <w:rsid w:val="006A63D4"/>
    <w:rsid w:val="006C4063"/>
    <w:rsid w:val="006D3AED"/>
    <w:rsid w:val="006E2A72"/>
    <w:rsid w:val="006F1C33"/>
    <w:rsid w:val="00702BAA"/>
    <w:rsid w:val="007055E1"/>
    <w:rsid w:val="0070758F"/>
    <w:rsid w:val="00724ABE"/>
    <w:rsid w:val="00727150"/>
    <w:rsid w:val="00740D32"/>
    <w:rsid w:val="007529BB"/>
    <w:rsid w:val="00766BF3"/>
    <w:rsid w:val="0077161F"/>
    <w:rsid w:val="00780AAE"/>
    <w:rsid w:val="007926B6"/>
    <w:rsid w:val="00794CFD"/>
    <w:rsid w:val="007A3AE1"/>
    <w:rsid w:val="007B303D"/>
    <w:rsid w:val="007B4B4D"/>
    <w:rsid w:val="007B62D8"/>
    <w:rsid w:val="007C0BDF"/>
    <w:rsid w:val="007C1ED8"/>
    <w:rsid w:val="007C3384"/>
    <w:rsid w:val="007C39E5"/>
    <w:rsid w:val="007C54EF"/>
    <w:rsid w:val="007C6F78"/>
    <w:rsid w:val="007D104A"/>
    <w:rsid w:val="007D5FD0"/>
    <w:rsid w:val="007D61E6"/>
    <w:rsid w:val="007E117D"/>
    <w:rsid w:val="007E4504"/>
    <w:rsid w:val="007F41FA"/>
    <w:rsid w:val="007F74F4"/>
    <w:rsid w:val="00813281"/>
    <w:rsid w:val="00813540"/>
    <w:rsid w:val="00814186"/>
    <w:rsid w:val="0081649A"/>
    <w:rsid w:val="00822567"/>
    <w:rsid w:val="00826D28"/>
    <w:rsid w:val="00842AEA"/>
    <w:rsid w:val="008522D7"/>
    <w:rsid w:val="008528C9"/>
    <w:rsid w:val="00863549"/>
    <w:rsid w:val="00864047"/>
    <w:rsid w:val="00871F81"/>
    <w:rsid w:val="00880C2F"/>
    <w:rsid w:val="008814C5"/>
    <w:rsid w:val="00881586"/>
    <w:rsid w:val="008830F3"/>
    <w:rsid w:val="00891E3E"/>
    <w:rsid w:val="0089503B"/>
    <w:rsid w:val="008D28CE"/>
    <w:rsid w:val="008D3A6B"/>
    <w:rsid w:val="008E79E4"/>
    <w:rsid w:val="009028BA"/>
    <w:rsid w:val="00910C5A"/>
    <w:rsid w:val="009245C8"/>
    <w:rsid w:val="0093221C"/>
    <w:rsid w:val="009422F0"/>
    <w:rsid w:val="00945B9E"/>
    <w:rsid w:val="009519EE"/>
    <w:rsid w:val="00956AE6"/>
    <w:rsid w:val="009571D0"/>
    <w:rsid w:val="00984EA2"/>
    <w:rsid w:val="00986EA1"/>
    <w:rsid w:val="00991DF6"/>
    <w:rsid w:val="00992A73"/>
    <w:rsid w:val="009A5FC5"/>
    <w:rsid w:val="009A768D"/>
    <w:rsid w:val="009D0E98"/>
    <w:rsid w:val="009D506D"/>
    <w:rsid w:val="009D5750"/>
    <w:rsid w:val="009E67F4"/>
    <w:rsid w:val="009F7A8F"/>
    <w:rsid w:val="00A02A9F"/>
    <w:rsid w:val="00A10856"/>
    <w:rsid w:val="00A1092E"/>
    <w:rsid w:val="00A14117"/>
    <w:rsid w:val="00A17472"/>
    <w:rsid w:val="00A2027F"/>
    <w:rsid w:val="00A308C3"/>
    <w:rsid w:val="00A473C0"/>
    <w:rsid w:val="00A60B8D"/>
    <w:rsid w:val="00A6202B"/>
    <w:rsid w:val="00A636A4"/>
    <w:rsid w:val="00A6492A"/>
    <w:rsid w:val="00A67D79"/>
    <w:rsid w:val="00A75B10"/>
    <w:rsid w:val="00A7665A"/>
    <w:rsid w:val="00AA0348"/>
    <w:rsid w:val="00AA16C7"/>
    <w:rsid w:val="00AC6C5B"/>
    <w:rsid w:val="00AD25CD"/>
    <w:rsid w:val="00AD6B7B"/>
    <w:rsid w:val="00AF1532"/>
    <w:rsid w:val="00AF1B64"/>
    <w:rsid w:val="00B03A99"/>
    <w:rsid w:val="00B105B1"/>
    <w:rsid w:val="00B17D3C"/>
    <w:rsid w:val="00B17DDA"/>
    <w:rsid w:val="00B23A7A"/>
    <w:rsid w:val="00B37A5C"/>
    <w:rsid w:val="00B37C58"/>
    <w:rsid w:val="00B470D6"/>
    <w:rsid w:val="00B47BE8"/>
    <w:rsid w:val="00B55743"/>
    <w:rsid w:val="00B728CA"/>
    <w:rsid w:val="00B801B6"/>
    <w:rsid w:val="00B81B60"/>
    <w:rsid w:val="00BA1B00"/>
    <w:rsid w:val="00BA48D1"/>
    <w:rsid w:val="00BB7968"/>
    <w:rsid w:val="00BC023C"/>
    <w:rsid w:val="00BC7522"/>
    <w:rsid w:val="00BD5899"/>
    <w:rsid w:val="00BE645E"/>
    <w:rsid w:val="00BF6CA4"/>
    <w:rsid w:val="00C221AB"/>
    <w:rsid w:val="00C47BED"/>
    <w:rsid w:val="00C52763"/>
    <w:rsid w:val="00C57ED3"/>
    <w:rsid w:val="00C62FF3"/>
    <w:rsid w:val="00C63EDD"/>
    <w:rsid w:val="00C67EA9"/>
    <w:rsid w:val="00C71DFA"/>
    <w:rsid w:val="00C741F6"/>
    <w:rsid w:val="00C8028B"/>
    <w:rsid w:val="00C97774"/>
    <w:rsid w:val="00CA116B"/>
    <w:rsid w:val="00CA2CFD"/>
    <w:rsid w:val="00CA565B"/>
    <w:rsid w:val="00CB0F73"/>
    <w:rsid w:val="00CC0ABB"/>
    <w:rsid w:val="00CC201D"/>
    <w:rsid w:val="00CC38BB"/>
    <w:rsid w:val="00CD4C1B"/>
    <w:rsid w:val="00CE0D36"/>
    <w:rsid w:val="00CF6B6C"/>
    <w:rsid w:val="00D022B2"/>
    <w:rsid w:val="00D05156"/>
    <w:rsid w:val="00D163B0"/>
    <w:rsid w:val="00D22A90"/>
    <w:rsid w:val="00D24548"/>
    <w:rsid w:val="00D35F29"/>
    <w:rsid w:val="00D369F3"/>
    <w:rsid w:val="00D567B8"/>
    <w:rsid w:val="00D578F0"/>
    <w:rsid w:val="00D61910"/>
    <w:rsid w:val="00D85AAA"/>
    <w:rsid w:val="00D86925"/>
    <w:rsid w:val="00D929C7"/>
    <w:rsid w:val="00D96C1A"/>
    <w:rsid w:val="00D9779D"/>
    <w:rsid w:val="00DB4718"/>
    <w:rsid w:val="00DB768C"/>
    <w:rsid w:val="00DB7735"/>
    <w:rsid w:val="00DD1AB6"/>
    <w:rsid w:val="00DE674C"/>
    <w:rsid w:val="00DF75F5"/>
    <w:rsid w:val="00E03132"/>
    <w:rsid w:val="00E07AB1"/>
    <w:rsid w:val="00E30FB4"/>
    <w:rsid w:val="00E3433A"/>
    <w:rsid w:val="00E35F38"/>
    <w:rsid w:val="00E41883"/>
    <w:rsid w:val="00E46549"/>
    <w:rsid w:val="00E50A05"/>
    <w:rsid w:val="00E55B40"/>
    <w:rsid w:val="00E57EAA"/>
    <w:rsid w:val="00E601B9"/>
    <w:rsid w:val="00E635FD"/>
    <w:rsid w:val="00E66CE3"/>
    <w:rsid w:val="00E71538"/>
    <w:rsid w:val="00E744CA"/>
    <w:rsid w:val="00E84DBE"/>
    <w:rsid w:val="00EA061D"/>
    <w:rsid w:val="00ED235F"/>
    <w:rsid w:val="00ED3C9E"/>
    <w:rsid w:val="00EF3141"/>
    <w:rsid w:val="00F10E59"/>
    <w:rsid w:val="00F137FD"/>
    <w:rsid w:val="00F2164F"/>
    <w:rsid w:val="00F21F3A"/>
    <w:rsid w:val="00F22A9D"/>
    <w:rsid w:val="00F25A13"/>
    <w:rsid w:val="00F278B2"/>
    <w:rsid w:val="00F279CF"/>
    <w:rsid w:val="00F34272"/>
    <w:rsid w:val="00F34A19"/>
    <w:rsid w:val="00F40D67"/>
    <w:rsid w:val="00F42322"/>
    <w:rsid w:val="00F42BEE"/>
    <w:rsid w:val="00F4758F"/>
    <w:rsid w:val="00F71A1D"/>
    <w:rsid w:val="00F73F97"/>
    <w:rsid w:val="00F83DF5"/>
    <w:rsid w:val="00F85C34"/>
    <w:rsid w:val="00F87364"/>
    <w:rsid w:val="00F87740"/>
    <w:rsid w:val="00F92831"/>
    <w:rsid w:val="00F9653B"/>
    <w:rsid w:val="00FB1D33"/>
    <w:rsid w:val="00FB68E3"/>
    <w:rsid w:val="00FC2CB9"/>
    <w:rsid w:val="00FC3413"/>
    <w:rsid w:val="00FC5811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098A"/>
  <w15:chartTrackingRefBased/>
  <w15:docId w15:val="{49A2926D-DCC4-45BE-A8DA-90AE6FF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65"/>
    <w:rPr>
      <w:rFonts w:ascii="Gotham Book" w:hAnsi="Gotham 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0F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49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92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8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A06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6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06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6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6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9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9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9C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8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DF5"/>
  </w:style>
  <w:style w:type="paragraph" w:styleId="Rodap">
    <w:name w:val="footer"/>
    <w:basedOn w:val="Normal"/>
    <w:link w:val="RodapChar"/>
    <w:uiPriority w:val="99"/>
    <w:unhideWhenUsed/>
    <w:rsid w:val="00F8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DF5"/>
  </w:style>
  <w:style w:type="paragraph" w:customStyle="1" w:styleId="TTULO01">
    <w:name w:val="TÍTULO 01"/>
    <w:basedOn w:val="Normal"/>
    <w:link w:val="TTULO01Char"/>
    <w:qFormat/>
    <w:rsid w:val="006A63D4"/>
    <w:pPr>
      <w:spacing w:before="240" w:after="400"/>
    </w:pPr>
    <w:rPr>
      <w:rFonts w:ascii="Gotham Medium" w:hAnsi="Gotham Medium" w:cstheme="majorHAnsi"/>
      <w:color w:val="6360A7"/>
      <w:sz w:val="32"/>
      <w:szCs w:val="32"/>
    </w:rPr>
  </w:style>
  <w:style w:type="paragraph" w:customStyle="1" w:styleId="TTULO02">
    <w:name w:val="TÍTULO 02"/>
    <w:basedOn w:val="Normal"/>
    <w:link w:val="TTULO02Char"/>
    <w:qFormat/>
    <w:rsid w:val="007F74F4"/>
    <w:pPr>
      <w:spacing w:before="120" w:after="280"/>
    </w:pPr>
    <w:rPr>
      <w:rFonts w:cstheme="majorHAnsi"/>
      <w:b/>
      <w:bCs/>
      <w:color w:val="6360A7"/>
      <w:sz w:val="26"/>
      <w:szCs w:val="26"/>
    </w:rPr>
  </w:style>
  <w:style w:type="character" w:customStyle="1" w:styleId="TTULO01Char">
    <w:name w:val="TÍTULO 01 Char"/>
    <w:basedOn w:val="Fontepargpadro"/>
    <w:link w:val="TTULO01"/>
    <w:rsid w:val="006A63D4"/>
    <w:rPr>
      <w:rFonts w:ascii="Gotham Medium" w:hAnsi="Gotham Medium" w:cstheme="majorHAnsi"/>
      <w:color w:val="6360A7"/>
      <w:sz w:val="32"/>
      <w:szCs w:val="32"/>
    </w:rPr>
  </w:style>
  <w:style w:type="character" w:customStyle="1" w:styleId="TTULO02Char">
    <w:name w:val="TÍTULO 02 Char"/>
    <w:basedOn w:val="Fontepargpadro"/>
    <w:link w:val="TTULO02"/>
    <w:rsid w:val="007F74F4"/>
    <w:rPr>
      <w:rFonts w:ascii="Gotham Book" w:hAnsi="Gotham Book" w:cstheme="majorHAnsi"/>
      <w:b/>
      <w:bCs/>
      <w:color w:val="6360A7"/>
      <w:sz w:val="26"/>
      <w:szCs w:val="26"/>
    </w:rPr>
  </w:style>
  <w:style w:type="character" w:customStyle="1" w:styleId="Estilo2Char">
    <w:name w:val="Estilo2 Char"/>
    <w:basedOn w:val="Fontepargpadro"/>
    <w:link w:val="Estilo2"/>
    <w:locked/>
    <w:rsid w:val="00B03A99"/>
    <w:rPr>
      <w:rFonts w:ascii="Gotham Narrow Light" w:hAnsi="Gotham Narrow Light" w:cstheme="majorHAnsi"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B03A99"/>
    <w:pPr>
      <w:spacing w:line="256" w:lineRule="auto"/>
      <w:jc w:val="both"/>
    </w:pPr>
    <w:rPr>
      <w:rFonts w:ascii="Gotham Narrow Light" w:hAnsi="Gotham Narrow Light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3a96b-b23d-4c07-a046-fd4d14ce6620" xsi:nil="true"/>
    <lcf76f155ced4ddcb4097134ff3c332f xmlns="7d8acb9f-b99a-414f-93aa-d68e05285f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FD07B1DB92CB4D88FDDA9418B885B9" ma:contentTypeVersion="16" ma:contentTypeDescription="Crie um novo documento." ma:contentTypeScope="" ma:versionID="49983127695ba77f32d2ac58ebfe89c6">
  <xsd:schema xmlns:xsd="http://www.w3.org/2001/XMLSchema" xmlns:xs="http://www.w3.org/2001/XMLSchema" xmlns:p="http://schemas.microsoft.com/office/2006/metadata/properties" xmlns:ns2="7d8acb9f-b99a-414f-93aa-d68e05285fd1" xmlns:ns3="44cd37b5-2af9-453f-a716-89e6d81c0ca9" xmlns:ns4="1ca3a96b-b23d-4c07-a046-fd4d14ce6620" targetNamespace="http://schemas.microsoft.com/office/2006/metadata/properties" ma:root="true" ma:fieldsID="3b4da7d00cea9003336e1933866ba76e" ns2:_="" ns3:_="" ns4:_="">
    <xsd:import namespace="7d8acb9f-b99a-414f-93aa-d68e05285fd1"/>
    <xsd:import namespace="44cd37b5-2af9-453f-a716-89e6d81c0ca9"/>
    <xsd:import namespace="1ca3a96b-b23d-4c07-a046-fd4d14ce6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cb9f-b99a-414f-93aa-d68e05285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d37b5-2af9-453f-a716-89e6d81c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96b-b23d-4c07-a046-fd4d14ce662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ef2f71-b635-4e2c-bfb0-c00682b86e15}" ma:internalName="TaxCatchAll" ma:showField="CatchAllData" ma:web="1ca3a96b-b23d-4c07-a046-fd4d14ce6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6BC4C-2CA2-4D81-B275-836C95216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DFAEA-BA85-421B-9B8C-9558F5184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CB50-B7FF-49CD-B638-C3C082B6E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D0E746-0F87-4B30-B7FA-F3A7D328C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3709</Words>
  <Characters>20030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Bazzo</dc:creator>
  <cp:keywords/>
  <dc:description/>
  <cp:lastModifiedBy>Michelli Goncalves Stumm</cp:lastModifiedBy>
  <cp:revision>4</cp:revision>
  <dcterms:created xsi:type="dcterms:W3CDTF">2022-01-26T16:13:00Z</dcterms:created>
  <dcterms:modified xsi:type="dcterms:W3CDTF">2022-01-26T18:14:00Z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0x0101001AFD07B1DB92CB4D88FDDA9418B885B9</vt:lpwstr>
  </property>
</Properties>
</file>